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39AC8">
      <w:pPr>
        <w:tabs>
          <w:tab w:val="left" w:pos="3230"/>
          <w:tab w:val="center" w:pos="4608"/>
        </w:tabs>
        <w:jc w:val="left"/>
        <w:rPr>
          <w:rFonts w:hint="default" w:ascii="Times New Roman" w:hAnsi="Times New Roman" w:cs="Times New Roman"/>
          <w:color w:val="FF0000"/>
          <w:spacing w:val="-20"/>
          <w:w w:val="50"/>
          <w:sz w:val="30"/>
          <w:szCs w:val="30"/>
        </w:rPr>
      </w:pPr>
      <w:r>
        <w:rPr>
          <w:rFonts w:hint="eastAsia" w:cs="Times New Roman"/>
          <w:color w:val="FF0000"/>
          <w:spacing w:val="-20"/>
          <w:w w:val="50"/>
          <w:sz w:val="84"/>
          <w:szCs w:val="84"/>
          <w:lang w:val="en-US" w:eastAsia="zh-CN"/>
        </w:rPr>
        <w:tab/>
      </w:r>
      <w:r>
        <w:rPr>
          <w:rFonts w:hint="eastAsia" w:cs="Times New Roman"/>
          <w:color w:val="FF0000"/>
          <w:spacing w:val="-20"/>
          <w:w w:val="50"/>
          <w:sz w:val="84"/>
          <w:szCs w:val="84"/>
          <w:lang w:val="en-US" w:eastAsia="zh-CN"/>
        </w:rPr>
        <w:tab/>
      </w:r>
    </w:p>
    <w:p w14:paraId="17D06602">
      <w:pPr>
        <w:pStyle w:val="7"/>
        <w:jc w:val="both"/>
        <w:rPr>
          <w:rFonts w:hint="default"/>
        </w:rPr>
      </w:pPr>
    </w:p>
    <w:p w14:paraId="0BB171AC">
      <w:pPr>
        <w:ind w:left="240" w:leftChars="100" w:right="240" w:rightChars="100"/>
        <w:jc w:val="center"/>
        <w:outlineLvl w:val="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eastAsia" w:eastAsia="仿宋" w:cs="Times New Roman"/>
          <w:spacing w:val="-4"/>
          <w:kern w:val="2"/>
          <w:sz w:val="32"/>
          <w:szCs w:val="32"/>
          <w:lang w:val="en-US" w:eastAsia="zh-CN" w:bidi="ar-SA"/>
        </w:rPr>
        <w:t>高文旅双随机</w:t>
      </w:r>
      <w:r>
        <w:rPr>
          <w:rFonts w:hint="default" w:ascii="Times New Roman" w:hAnsi="Times New Roman" w:eastAsia="仿宋" w:cs="Times New Roman"/>
          <w:spacing w:val="-4"/>
          <w:kern w:val="2"/>
          <w:sz w:val="32"/>
          <w:szCs w:val="32"/>
          <w:lang w:val="en-US" w:eastAsia="zh-CN" w:bidi="ar-SA"/>
        </w:rPr>
        <w:t>〔202</w:t>
      </w:r>
      <w:r>
        <w:rPr>
          <w:rFonts w:hint="eastAsia" w:eastAsia="仿宋" w:cs="Times New Roman"/>
          <w:spacing w:val="-4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" w:cs="Times New Roman"/>
          <w:spacing w:val="-4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eastAsia="仿宋" w:cs="Times New Roman"/>
          <w:spacing w:val="-4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" w:cs="Times New Roman"/>
          <w:spacing w:val="-4"/>
          <w:kern w:val="2"/>
          <w:sz w:val="32"/>
          <w:szCs w:val="32"/>
          <w:lang w:val="en-US" w:eastAsia="zh-CN" w:bidi="ar-SA"/>
        </w:rPr>
        <w:t>号</w:t>
      </w:r>
    </w:p>
    <w:p w14:paraId="70B36180">
      <w:pPr>
        <w:tabs>
          <w:tab w:val="left" w:pos="6952"/>
        </w:tabs>
        <w:adjustRightInd w:val="0"/>
        <w:snapToGrid w:val="0"/>
        <w:jc w:val="left"/>
        <w:rPr>
          <w:rFonts w:hint="default" w:ascii="Times New Roman" w:hAnsi="Times New Roman" w:eastAsia="方正小标宋_GBK" w:cs="Times New Roman"/>
          <w:snapToGrid w:val="0"/>
          <w:color w:val="000000"/>
          <w:spacing w:val="-4"/>
          <w:sz w:val="24"/>
        </w:rPr>
      </w:pPr>
    </w:p>
    <w:p w14:paraId="447A5EBD">
      <w:pPr>
        <w:tabs>
          <w:tab w:val="left" w:pos="6952"/>
        </w:tabs>
        <w:adjustRightInd w:val="0"/>
        <w:snapToGrid w:val="0"/>
        <w:jc w:val="left"/>
        <w:rPr>
          <w:rFonts w:hint="default" w:ascii="Times New Roman" w:hAnsi="Times New Roman" w:eastAsia="方正小标宋_GBK" w:cs="Times New Roman"/>
          <w:snapToGrid w:val="0"/>
          <w:color w:val="000000"/>
          <w:spacing w:val="-4"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pacing w:val="-4"/>
          <w:sz w:val="24"/>
        </w:rPr>
        <w:tab/>
      </w:r>
    </w:p>
    <w:p w14:paraId="301F7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-4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pacing w:val="-4"/>
          <w:kern w:val="0"/>
          <w:sz w:val="44"/>
          <w:szCs w:val="44"/>
          <w:lang w:val="en-US" w:eastAsia="zh-CN" w:bidi="ar-SA"/>
        </w:rPr>
        <w:t>关于印发202</w:t>
      </w:r>
      <w:r>
        <w:rPr>
          <w:rFonts w:hint="eastAsia" w:eastAsia="方正小标宋简体" w:cs="Times New Roman"/>
          <w:spacing w:val="-4"/>
          <w:kern w:val="0"/>
          <w:sz w:val="44"/>
          <w:szCs w:val="44"/>
          <w:lang w:val="en-US" w:eastAsia="zh-CN" w:bidi="ar-SA"/>
        </w:rPr>
        <w:t>6</w:t>
      </w:r>
      <w:r>
        <w:rPr>
          <w:rFonts w:hint="eastAsia" w:ascii="Times New Roman" w:hAnsi="Times New Roman" w:eastAsia="方正小标宋简体" w:cs="Times New Roman"/>
          <w:spacing w:val="-4"/>
          <w:kern w:val="0"/>
          <w:sz w:val="44"/>
          <w:szCs w:val="44"/>
          <w:lang w:val="en-US" w:eastAsia="zh-CN" w:bidi="ar-SA"/>
        </w:rPr>
        <w:t>年</w:t>
      </w:r>
      <w:r>
        <w:rPr>
          <w:rFonts w:hint="eastAsia" w:eastAsia="方正小标宋简体" w:cs="Times New Roman"/>
          <w:spacing w:val="-4"/>
          <w:kern w:val="0"/>
          <w:sz w:val="44"/>
          <w:szCs w:val="44"/>
          <w:lang w:val="en-US" w:eastAsia="zh-CN" w:bidi="ar-SA"/>
        </w:rPr>
        <w:t>高阳县文化广电和旅游局</w:t>
      </w:r>
      <w:r>
        <w:rPr>
          <w:rFonts w:hint="eastAsia" w:ascii="Times New Roman" w:hAnsi="Times New Roman" w:eastAsia="方正小标宋简体" w:cs="Times New Roman"/>
          <w:spacing w:val="-4"/>
          <w:kern w:val="0"/>
          <w:sz w:val="44"/>
          <w:szCs w:val="44"/>
          <w:lang w:val="en-US" w:eastAsia="zh-CN" w:bidi="ar-SA"/>
        </w:rPr>
        <w:t>“双随机、一公开”</w:t>
      </w:r>
    </w:p>
    <w:p w14:paraId="1E1EB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4"/>
        </w:rPr>
      </w:pPr>
      <w:r>
        <w:rPr>
          <w:rFonts w:hint="eastAsia" w:ascii="Times New Roman" w:hAnsi="Times New Roman" w:eastAsia="方正小标宋简体" w:cs="Times New Roman"/>
          <w:spacing w:val="-4"/>
          <w:kern w:val="0"/>
          <w:sz w:val="44"/>
          <w:szCs w:val="44"/>
          <w:lang w:val="en-US" w:eastAsia="zh-CN" w:bidi="ar-SA"/>
        </w:rPr>
        <w:t>监管工作实施方案的通知</w:t>
      </w:r>
    </w:p>
    <w:p w14:paraId="088828E8">
      <w:pPr>
        <w:pStyle w:val="3"/>
        <w:kinsoku w:val="0"/>
        <w:overflowPunct w:val="0"/>
        <w:ind w:left="0" w:firstLine="660" w:firstLineChars="200"/>
        <w:rPr>
          <w:rFonts w:hint="default" w:ascii="Times New Roman" w:hAnsi="Times New Roman" w:cs="Times New Roman"/>
          <w:sz w:val="33"/>
          <w:szCs w:val="33"/>
        </w:rPr>
      </w:pPr>
    </w:p>
    <w:p w14:paraId="59CC4E4C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26" w:rightChars="11" w:firstLine="0" w:firstLineChars="0"/>
        <w:textAlignment w:val="auto"/>
        <w:rPr>
          <w:rFonts w:hint="default" w:ascii="Times New Roman" w:hAnsi="Times New Roman" w:eastAsia="仿宋_GB2312" w:cs="Times New Roman"/>
          <w:color w:val="FF000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各馆（所）、股室</w:t>
      </w:r>
      <w:r>
        <w:rPr>
          <w:rFonts w:hint="default" w:ascii="Times New Roman" w:hAnsi="Times New Roman" w:eastAsia="仿宋_GB2312" w:cs="Times New Roman"/>
          <w:color w:val="auto"/>
        </w:rPr>
        <w:t>：</w:t>
      </w:r>
    </w:p>
    <w:p w14:paraId="35BB1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sz w:val="32"/>
          <w:szCs w:val="32"/>
        </w:rPr>
        <w:t>现将《</w:t>
      </w:r>
      <w:r>
        <w:rPr>
          <w:rFonts w:hint="eastAsia" w:ascii="仿宋_GB2312" w:hAnsi="仿宋_GB2312" w:eastAsia="仿宋_GB2312" w:cs="仿宋_GB2312"/>
          <w:color w:val="000000"/>
          <w:w w:val="1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w w:val="1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sz w:val="32"/>
          <w:szCs w:val="32"/>
          <w:lang w:val="en-US" w:eastAsia="zh-CN"/>
        </w:rPr>
        <w:t>高阳县文化广电和旅游局</w:t>
      </w: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sz w:val="32"/>
          <w:szCs w:val="32"/>
        </w:rPr>
        <w:t>“双随机、一公开”监管工作实施方案》印发给你们，请结合</w:t>
      </w: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sz w:val="32"/>
          <w:szCs w:val="32"/>
        </w:rPr>
        <w:t>实际，</w:t>
      </w:r>
      <w:r>
        <w:rPr>
          <w:rFonts w:hint="default" w:ascii="仿宋_GB2312" w:hAnsi="仿宋_GB2312" w:eastAsia="仿宋_GB2312" w:cs="仿宋_GB2312"/>
          <w:snapToGrid w:val="0"/>
          <w:color w:val="000000"/>
          <w:w w:val="100"/>
          <w:sz w:val="32"/>
          <w:szCs w:val="32"/>
        </w:rPr>
        <w:t>根据</w:t>
      </w:r>
      <w:r>
        <w:rPr>
          <w:rFonts w:hint="default" w:ascii="仿宋_GB2312" w:hAnsi="仿宋_GB2312" w:eastAsia="仿宋_GB2312" w:cs="仿宋_GB2312"/>
          <w:snapToGrid w:val="0"/>
          <w:color w:val="000000"/>
          <w:w w:val="100"/>
          <w:sz w:val="32"/>
          <w:szCs w:val="32"/>
          <w:lang w:val="en-US" w:eastAsia="zh-CN"/>
        </w:rPr>
        <w:t>此方案制定</w:t>
      </w: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sz w:val="32"/>
          <w:szCs w:val="32"/>
          <w:lang w:val="en-US" w:eastAsia="zh-CN"/>
        </w:rPr>
        <w:t>监管工作实施</w:t>
      </w:r>
      <w:r>
        <w:rPr>
          <w:rFonts w:hint="default" w:ascii="仿宋_GB2312" w:hAnsi="仿宋_GB2312" w:eastAsia="仿宋_GB2312" w:cs="仿宋_GB2312"/>
          <w:snapToGrid w:val="0"/>
          <w:color w:val="000000"/>
          <w:w w:val="100"/>
          <w:sz w:val="32"/>
          <w:szCs w:val="32"/>
          <w:lang w:val="en-US" w:eastAsia="zh-CN"/>
        </w:rPr>
        <w:t>方案，</w:t>
      </w: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sz w:val="32"/>
          <w:szCs w:val="32"/>
        </w:rPr>
        <w:t>认真组织实施。</w:t>
      </w:r>
    </w:p>
    <w:p w14:paraId="1E34F3B1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26" w:rightChars="11" w:firstLine="0" w:firstLineChars="0"/>
        <w:textAlignment w:val="auto"/>
        <w:rPr>
          <w:rFonts w:hint="default" w:ascii="Times New Roman" w:hAnsi="Times New Roman" w:eastAsia="仿宋_GB2312" w:cs="Times New Roman"/>
        </w:rPr>
      </w:pPr>
    </w:p>
    <w:p w14:paraId="5BF58CA7">
      <w:pPr>
        <w:pStyle w:val="3"/>
        <w:keepNext w:val="0"/>
        <w:keepLines w:val="0"/>
        <w:pageBreakBefore w:val="0"/>
        <w:widowControl w:val="0"/>
        <w:kinsoku w:val="0"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18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 w14:paraId="66E519FF">
      <w:pPr>
        <w:pStyle w:val="3"/>
        <w:keepNext w:val="0"/>
        <w:keepLines w:val="0"/>
        <w:pageBreakBefore w:val="0"/>
        <w:widowControl w:val="0"/>
        <w:kinsoku w:val="0"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18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 w14:paraId="44A5ADC9">
      <w:pPr>
        <w:pStyle w:val="3"/>
        <w:keepNext w:val="0"/>
        <w:keepLines w:val="0"/>
        <w:pageBreakBefore w:val="0"/>
        <w:widowControl w:val="0"/>
        <w:kinsoku w:val="0"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18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 w14:paraId="7DCEAE7E">
      <w:pPr>
        <w:pStyle w:val="3"/>
        <w:keepNext w:val="0"/>
        <w:keepLines w:val="0"/>
        <w:pageBreakBefore w:val="0"/>
        <w:widowControl w:val="0"/>
        <w:kinsoku w:val="0"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257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eastAsia="仿宋_GB2312" w:cs="Times New Roman"/>
          <w:lang w:val="en-US" w:eastAsia="zh-CN"/>
        </w:rPr>
        <w:t xml:space="preserve">                                                       </w:t>
      </w:r>
      <w:r>
        <w:rPr>
          <w:rFonts w:hint="eastAsia" w:ascii="Times New Roman" w:eastAsia="仿宋_GB2312" w:cs="Times New Roman"/>
          <w:lang w:eastAsia="zh-CN"/>
        </w:rPr>
        <w:t>高阳县</w:t>
      </w:r>
      <w:r>
        <w:rPr>
          <w:rFonts w:hint="eastAsia" w:ascii="Times New Roman" w:eastAsia="仿宋_GB2312" w:cs="Times New Roman"/>
          <w:lang w:val="en-US" w:eastAsia="zh-CN"/>
        </w:rPr>
        <w:t>文化广电和旅游局</w:t>
      </w:r>
    </w:p>
    <w:p w14:paraId="39A8592A">
      <w:pPr>
        <w:pStyle w:val="3"/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257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eastAsia="仿宋_GB2312" w:cs="Times New Roman"/>
          <w:lang w:val="en-US" w:eastAsia="zh-CN"/>
        </w:rPr>
        <w:t xml:space="preserve">                                                           </w:t>
      </w:r>
      <w:r>
        <w:rPr>
          <w:rFonts w:hint="default" w:ascii="Times New Roman" w:hAnsi="Times New Roman" w:eastAsia="仿宋_GB2312" w:cs="Times New Roman"/>
        </w:rPr>
        <w:t>202</w:t>
      </w:r>
      <w:r>
        <w:rPr>
          <w:rFonts w:hint="eastAsia" w:ascii="Times New Roman" w:eastAsia="仿宋_GB2312" w:cs="Times New Roman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ascii="Times New Roman" w:eastAsia="仿宋_GB2312" w:cs="Times New Roman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eastAsia" w:ascii="Times New Roman" w:eastAsia="仿宋_GB2312" w:cs="Times New Roman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</w:rPr>
        <w:t xml:space="preserve">日    </w:t>
      </w:r>
    </w:p>
    <w:p w14:paraId="4A5C2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60"/>
          <w:sz w:val="44"/>
          <w:szCs w:val="44"/>
        </w:rPr>
      </w:pPr>
    </w:p>
    <w:p w14:paraId="52924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-4"/>
          <w:kern w:val="0"/>
          <w:sz w:val="44"/>
          <w:szCs w:val="44"/>
          <w:lang w:val="en-US" w:eastAsia="zh-CN" w:bidi="ar-SA"/>
        </w:rPr>
      </w:pPr>
    </w:p>
    <w:p w14:paraId="1F39B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-4"/>
          <w:kern w:val="0"/>
          <w:sz w:val="44"/>
          <w:szCs w:val="44"/>
          <w:lang w:val="en-US" w:eastAsia="zh-CN" w:bidi="ar-SA"/>
        </w:rPr>
      </w:pPr>
    </w:p>
    <w:p w14:paraId="2935F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-4"/>
          <w:kern w:val="0"/>
          <w:sz w:val="44"/>
          <w:szCs w:val="44"/>
          <w:lang w:val="en-US" w:eastAsia="zh-CN" w:bidi="ar-SA"/>
        </w:rPr>
      </w:pPr>
    </w:p>
    <w:p w14:paraId="4F1E5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-4"/>
          <w:kern w:val="0"/>
          <w:sz w:val="44"/>
          <w:szCs w:val="44"/>
          <w:lang w:val="en-US" w:eastAsia="zh-CN" w:bidi="ar-SA"/>
        </w:rPr>
      </w:pPr>
    </w:p>
    <w:p w14:paraId="5F88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-4"/>
          <w:kern w:val="0"/>
          <w:sz w:val="44"/>
          <w:szCs w:val="44"/>
          <w:lang w:val="en-US" w:eastAsia="zh-CN" w:bidi="ar-SA"/>
        </w:rPr>
      </w:pPr>
    </w:p>
    <w:p w14:paraId="39E5A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-4"/>
          <w:kern w:val="0"/>
          <w:sz w:val="44"/>
          <w:szCs w:val="44"/>
          <w:lang w:val="en-US" w:eastAsia="zh-CN" w:bidi="ar-SA"/>
        </w:rPr>
      </w:pPr>
    </w:p>
    <w:p w14:paraId="03124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-4"/>
          <w:kern w:val="0"/>
          <w:sz w:val="44"/>
          <w:szCs w:val="44"/>
          <w:lang w:val="en-US" w:eastAsia="zh-CN" w:bidi="ar-SA"/>
        </w:rPr>
      </w:pPr>
      <w:bookmarkStart w:id="0" w:name="_GoBack"/>
      <w:bookmarkEnd w:id="0"/>
    </w:p>
    <w:p w14:paraId="3CC96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-4"/>
          <w:kern w:val="0"/>
          <w:sz w:val="44"/>
          <w:szCs w:val="44"/>
          <w:lang w:val="en-US" w:eastAsia="zh-CN" w:bidi="ar-SA"/>
        </w:rPr>
      </w:pPr>
    </w:p>
    <w:p w14:paraId="0BC1B749">
      <w:pPr>
        <w:spacing w:before="149" w:line="219" w:lineRule="auto"/>
        <w:ind w:left="149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10"/>
          <w:sz w:val="46"/>
          <w:szCs w:val="46"/>
        </w:rPr>
        <w:t>2026年度“双随机、</w:t>
      </w:r>
      <w:r>
        <w:rPr>
          <w:rFonts w:ascii="宋体" w:hAnsi="宋体" w:eastAsia="宋体" w:cs="宋体"/>
          <w:spacing w:val="-105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10"/>
          <w:sz w:val="46"/>
          <w:szCs w:val="46"/>
        </w:rPr>
        <w:t>一公开”</w:t>
      </w:r>
    </w:p>
    <w:p w14:paraId="4A36DAC6">
      <w:pPr>
        <w:spacing w:before="127" w:line="219" w:lineRule="auto"/>
        <w:ind w:left="268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3"/>
          <w:sz w:val="46"/>
          <w:szCs w:val="46"/>
        </w:rPr>
        <w:t>监管工作实施方案</w:t>
      </w:r>
    </w:p>
    <w:p w14:paraId="297B4707">
      <w:pPr>
        <w:pStyle w:val="3"/>
        <w:spacing w:line="257" w:lineRule="auto"/>
      </w:pPr>
    </w:p>
    <w:p w14:paraId="787480B7">
      <w:pPr>
        <w:pStyle w:val="3"/>
        <w:spacing w:line="258" w:lineRule="auto"/>
      </w:pPr>
    </w:p>
    <w:p w14:paraId="103EA191">
      <w:pPr>
        <w:pStyle w:val="3"/>
        <w:spacing w:line="258" w:lineRule="auto"/>
      </w:pPr>
    </w:p>
    <w:p w14:paraId="2D1C1112">
      <w:pPr>
        <w:spacing w:before="104" w:line="334" w:lineRule="auto"/>
        <w:ind w:right="19" w:firstLine="65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为深入贯彻落实国家、省、市关于优化营商环境部署要求，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持续深化“双随机、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一公开”监管，提升监管效能，</w:t>
      </w:r>
      <w:r>
        <w:rPr>
          <w:rFonts w:ascii="仿宋" w:hAnsi="仿宋" w:eastAsia="仿宋" w:cs="仿宋"/>
          <w:spacing w:val="4"/>
          <w:sz w:val="32"/>
          <w:szCs w:val="32"/>
        </w:rPr>
        <w:t>根据省、市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有关部门工作安排部署要求，制定本方案。</w:t>
      </w:r>
    </w:p>
    <w:p w14:paraId="59BA76C8">
      <w:pPr>
        <w:spacing w:before="1" w:line="221" w:lineRule="auto"/>
        <w:ind w:left="654"/>
        <w:outlineLvl w:val="1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9"/>
          <w:sz w:val="34"/>
          <w:szCs w:val="34"/>
        </w:rPr>
        <w:t>一、工作思路</w:t>
      </w:r>
    </w:p>
    <w:p w14:paraId="7776BA3B">
      <w:pPr>
        <w:spacing w:before="213" w:line="340" w:lineRule="auto"/>
        <w:ind w:right="37" w:firstLine="79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(一)持续深化部门联合抽查，进一步拓展“一业一查”部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门联合模式，着重做好“一业一查”精细化管理，不断扩大</w:t>
      </w:r>
      <w:r>
        <w:rPr>
          <w:rFonts w:ascii="仿宋" w:hAnsi="仿宋" w:eastAsia="仿宋" w:cs="仿宋"/>
          <w:spacing w:val="7"/>
          <w:sz w:val="32"/>
          <w:szCs w:val="32"/>
        </w:rPr>
        <w:t>部门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联合随机抽查的覆盖面、占比率，切实减少涉企检查频次。</w:t>
      </w:r>
      <w:r>
        <w:rPr>
          <w:rFonts w:ascii="仿宋" w:hAnsi="仿宋" w:eastAsia="仿宋" w:cs="仿宋"/>
          <w:spacing w:val="7"/>
          <w:sz w:val="32"/>
          <w:szCs w:val="32"/>
        </w:rPr>
        <w:t>在随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机抽查后处理上求实效，及时组织对检查发现问题的后续处</w:t>
      </w:r>
      <w:r>
        <w:rPr>
          <w:rFonts w:ascii="仿宋" w:hAnsi="仿宋" w:eastAsia="仿宋" w:cs="仿宋"/>
          <w:spacing w:val="8"/>
          <w:sz w:val="32"/>
          <w:szCs w:val="32"/>
        </w:rPr>
        <w:t>理工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作，依法依规调查处理，督促整改到位，提高问题发现率，形成 </w:t>
      </w:r>
      <w:r>
        <w:rPr>
          <w:rFonts w:ascii="仿宋" w:hAnsi="仿宋" w:eastAsia="仿宋" w:cs="仿宋"/>
          <w:spacing w:val="-4"/>
          <w:sz w:val="32"/>
          <w:szCs w:val="32"/>
        </w:rPr>
        <w:t>监管闭环。</w:t>
      </w:r>
    </w:p>
    <w:p w14:paraId="047C44F2">
      <w:pPr>
        <w:spacing w:before="3" w:line="341" w:lineRule="auto"/>
        <w:ind w:right="18" w:firstLine="8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(二)持续推进差异化抽查，巩固企业信用风险分类结果在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“双随机、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一公开”监管中常态化运用，结合投诉举报、舆情监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测、风险预警等情形，进一步拓展、深化运用场景，提升监管执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法效能。</w:t>
      </w:r>
    </w:p>
    <w:p w14:paraId="1CEFAFB7">
      <w:pPr>
        <w:spacing w:before="6" w:line="340" w:lineRule="auto"/>
        <w:ind w:firstLine="8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(三)进一步严格工作标准和流程，规范检查行</w:t>
      </w:r>
      <w:r>
        <w:rPr>
          <w:rFonts w:ascii="仿宋" w:hAnsi="仿宋" w:eastAsia="仿宋" w:cs="仿宋"/>
          <w:spacing w:val="15"/>
          <w:sz w:val="32"/>
          <w:szCs w:val="32"/>
        </w:rPr>
        <w:t>为，回应经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营主体和社会关切，有效防止多头检查、重复检查，避免随意、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任性检查。</w:t>
      </w:r>
    </w:p>
    <w:p w14:paraId="6BAD0A47">
      <w:pPr>
        <w:spacing w:before="1" w:line="220" w:lineRule="auto"/>
        <w:ind w:left="71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8"/>
          <w:sz w:val="32"/>
          <w:szCs w:val="32"/>
        </w:rPr>
        <w:t>二、主要工作任务</w:t>
      </w:r>
    </w:p>
    <w:p w14:paraId="5559DD4F">
      <w:pPr>
        <w:spacing w:before="197" w:line="223" w:lineRule="auto"/>
        <w:ind w:left="829"/>
        <w:rPr>
          <w:rFonts w:ascii="楷体" w:hAnsi="楷体" w:eastAsia="楷体" w:cs="楷体"/>
          <w:sz w:val="32"/>
          <w:szCs w:val="32"/>
        </w:rPr>
        <w:sectPr>
          <w:footerReference r:id="rId3" w:type="default"/>
          <w:pgSz w:w="12150" w:h="17550"/>
          <w:pgMar w:top="1491" w:right="1359" w:bottom="909" w:left="1530" w:header="0" w:footer="597" w:gutter="0"/>
          <w:cols w:space="720" w:num="1"/>
        </w:sectPr>
      </w:pPr>
      <w:r>
        <w:rPr>
          <w:rFonts w:ascii="楷体" w:hAnsi="楷体" w:eastAsia="楷体" w:cs="楷体"/>
          <w:spacing w:val="30"/>
          <w:sz w:val="32"/>
          <w:szCs w:val="32"/>
        </w:rPr>
        <w:t>(一)强化工作支撑</w:t>
      </w:r>
    </w:p>
    <w:p w14:paraId="11842056">
      <w:pPr>
        <w:pStyle w:val="3"/>
        <w:spacing w:line="333" w:lineRule="auto"/>
        <w:ind w:left="0" w:leftChars="0" w:firstLine="0" w:firstLineChars="0"/>
      </w:pPr>
    </w:p>
    <w:p w14:paraId="463CA5D7">
      <w:pPr>
        <w:spacing w:before="104" w:line="340" w:lineRule="auto"/>
        <w:ind w:right="233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依托省双随机监管平台，根据法律法规规章立改废情况</w:t>
      </w:r>
      <w:r>
        <w:rPr>
          <w:rFonts w:ascii="仿宋" w:hAnsi="仿宋" w:eastAsia="仿宋" w:cs="仿宋"/>
          <w:spacing w:val="8"/>
          <w:sz w:val="32"/>
          <w:szCs w:val="32"/>
        </w:rPr>
        <w:t>，及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时动态调整随机抽查事项库中的随机抽查事项并完善工作指引，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结合监管重点合理确定一般检查事项和重点检查事项，持续完善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“一单两库一指引”。各县(市、区)文化和旅游部门、市文化市 </w:t>
      </w:r>
      <w:r>
        <w:rPr>
          <w:rFonts w:ascii="仿宋" w:hAnsi="仿宋" w:eastAsia="仿宋" w:cs="仿宋"/>
          <w:spacing w:val="9"/>
          <w:sz w:val="32"/>
          <w:szCs w:val="32"/>
        </w:rPr>
        <w:t>场综合行政执法局要依据职责，对清单中的事项进行认领，形成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本级随机抽查事项清单。要动态调整检查对象名录库和执法检查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人员名录库，确保“应纳尽纳”。依托省双随机监管平台中的标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注功能和信用标注结果，对检查对象和执法人员进行分类标注，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实现对检查对象精准抽取、执法人员精准匹配。</w:t>
      </w:r>
    </w:p>
    <w:p w14:paraId="7B21A18B">
      <w:pPr>
        <w:spacing w:before="1" w:line="222" w:lineRule="auto"/>
        <w:ind w:left="834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25"/>
          <w:sz w:val="32"/>
          <w:szCs w:val="32"/>
        </w:rPr>
        <w:t>(二)深化联合监管</w:t>
      </w:r>
    </w:p>
    <w:p w14:paraId="7495706F">
      <w:pPr>
        <w:spacing w:before="214" w:line="340" w:lineRule="auto"/>
        <w:ind w:left="9" w:firstLine="67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健全完善长效联合抽查机制，按照“能合并实</w:t>
      </w:r>
      <w:r>
        <w:rPr>
          <w:rFonts w:ascii="仿宋" w:hAnsi="仿宋" w:eastAsia="仿宋" w:cs="仿宋"/>
          <w:spacing w:val="7"/>
          <w:sz w:val="32"/>
          <w:szCs w:val="32"/>
        </w:rPr>
        <w:t>施的不得重复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7"/>
          <w:sz w:val="32"/>
          <w:szCs w:val="32"/>
        </w:rPr>
        <w:t>检查、能联合实施的不得多头检查”原则，全面深化“一业一</w:t>
      </w:r>
      <w:r>
        <w:rPr>
          <w:rFonts w:ascii="仿宋" w:hAnsi="仿宋" w:eastAsia="仿宋" w:cs="仿宋"/>
          <w:spacing w:val="6"/>
          <w:sz w:val="32"/>
          <w:szCs w:val="32"/>
        </w:rPr>
        <w:t>查”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部门联合抽查模式。各县(市、区)文化和旅游部门、市文化市场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8"/>
          <w:sz w:val="32"/>
          <w:szCs w:val="32"/>
        </w:rPr>
        <w:t>综合行政执法局要以全省“一业一查”部门联合随机抽查事项清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8"/>
          <w:sz w:val="32"/>
          <w:szCs w:val="32"/>
        </w:rPr>
        <w:t>单为指引，结合本地监管实际，聚焦涉及监管领域多、检查频次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8"/>
          <w:sz w:val="32"/>
          <w:szCs w:val="32"/>
        </w:rPr>
        <w:t>高的行业领域，全面推行“一业一查”部门联合随机抽查，并在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8"/>
          <w:sz w:val="32"/>
          <w:szCs w:val="32"/>
        </w:rPr>
        <w:t>实践中不断拓展联合范围、领域，持续扩大部门联合随</w:t>
      </w:r>
      <w:r>
        <w:rPr>
          <w:rFonts w:ascii="仿宋" w:hAnsi="仿宋" w:eastAsia="仿宋" w:cs="仿宋"/>
          <w:spacing w:val="7"/>
          <w:sz w:val="32"/>
          <w:szCs w:val="32"/>
        </w:rPr>
        <w:t>机抽查的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覆盖面、占比率，确保本地区联合抽查次数占随机抽查总次数的  </w:t>
      </w:r>
      <w:r>
        <w:rPr>
          <w:rFonts w:ascii="仿宋" w:hAnsi="仿宋" w:eastAsia="仿宋" w:cs="仿宋"/>
          <w:spacing w:val="21"/>
          <w:sz w:val="32"/>
          <w:szCs w:val="32"/>
        </w:rPr>
        <w:t>比例不低于60%,部门联合抽查户数占随机抽查总户数的比例不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1"/>
          <w:sz w:val="32"/>
          <w:szCs w:val="32"/>
        </w:rPr>
        <w:t>低于50%。推动部门联合抽查常态化，切实压减涉企检查频次。</w:t>
      </w:r>
    </w:p>
    <w:p w14:paraId="4498CFA2">
      <w:pPr>
        <w:spacing w:before="2" w:line="222" w:lineRule="auto"/>
        <w:ind w:left="86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34"/>
          <w:sz w:val="32"/>
          <w:szCs w:val="32"/>
        </w:rPr>
        <w:t>(三)提升监管效能</w:t>
      </w:r>
    </w:p>
    <w:p w14:paraId="02D25C78">
      <w:pPr>
        <w:spacing w:before="216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要强化信用风险分类应用，将信用风险分类结果与“双随</w:t>
      </w:r>
      <w:r>
        <w:rPr>
          <w:rFonts w:ascii="仿宋" w:hAnsi="仿宋" w:eastAsia="仿宋" w:cs="仿宋"/>
          <w:spacing w:val="-1"/>
          <w:sz w:val="32"/>
          <w:szCs w:val="32"/>
        </w:rPr>
        <w:t>机、</w:t>
      </w:r>
    </w:p>
    <w:p w14:paraId="42134B7E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4" w:type="default"/>
          <w:pgSz w:w="12150" w:h="17550"/>
          <w:pgMar w:top="1491" w:right="1147" w:bottom="923" w:left="1510" w:header="0" w:footer="610" w:gutter="0"/>
          <w:cols w:space="720" w:num="1"/>
        </w:sectPr>
      </w:pPr>
    </w:p>
    <w:p w14:paraId="175E3B3F">
      <w:pPr>
        <w:pStyle w:val="3"/>
        <w:spacing w:line="321" w:lineRule="auto"/>
      </w:pPr>
    </w:p>
    <w:p w14:paraId="4E7B394E">
      <w:pPr>
        <w:pStyle w:val="3"/>
        <w:spacing w:line="321" w:lineRule="auto"/>
      </w:pPr>
    </w:p>
    <w:p w14:paraId="40261B7A">
      <w:pPr>
        <w:spacing w:before="104" w:line="340" w:lineRule="auto"/>
        <w:ind w:right="11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一公开”监管深度融合，针对不同的信用风险分类等级合理确定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抽查比例和频次，运用信用风险分级分类开展的抽查次数占抽查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总次数的比例不低于90%。探索实施“信用标注+</w:t>
      </w:r>
      <w:r>
        <w:rPr>
          <w:rFonts w:ascii="仿宋" w:hAnsi="仿宋" w:eastAsia="仿宋" w:cs="仿宋"/>
          <w:spacing w:val="11"/>
          <w:sz w:val="32"/>
          <w:szCs w:val="32"/>
        </w:rPr>
        <w:t>双随机监管”,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将多维信用标注结果作为确定检查对象的核心筛选因素，对高风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险标注主体自动提高抽查比例、频次，对低风险、信用良好主体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大幅降低抽查比例、频次。探索推广非现场监</w:t>
      </w:r>
      <w:r>
        <w:rPr>
          <w:rFonts w:ascii="仿宋" w:hAnsi="仿宋" w:eastAsia="仿宋" w:cs="仿宋"/>
          <w:spacing w:val="7"/>
          <w:sz w:val="32"/>
          <w:szCs w:val="32"/>
        </w:rPr>
        <w:t>管，对能通过书面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核查、网络监测、视频检查等方式监管的事项，原则上不进行现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场检查。严格落实查前准备和查前业务培训等工作制度，切实提 </w:t>
      </w:r>
      <w:r>
        <w:rPr>
          <w:rFonts w:ascii="仿宋" w:hAnsi="仿宋" w:eastAsia="仿宋" w:cs="仿宋"/>
          <w:spacing w:val="10"/>
          <w:sz w:val="32"/>
          <w:szCs w:val="32"/>
        </w:rPr>
        <w:t>高检查的针对性和执法人员的业务能力，提升抽查检查质</w:t>
      </w:r>
      <w:r>
        <w:rPr>
          <w:rFonts w:ascii="仿宋" w:hAnsi="仿宋" w:eastAsia="仿宋" w:cs="仿宋"/>
          <w:spacing w:val="9"/>
          <w:sz w:val="32"/>
          <w:szCs w:val="32"/>
        </w:rPr>
        <w:t>效。</w:t>
      </w:r>
    </w:p>
    <w:p w14:paraId="51B23B1E">
      <w:pPr>
        <w:spacing w:before="17" w:line="224" w:lineRule="auto"/>
        <w:ind w:left="854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22"/>
          <w:sz w:val="32"/>
          <w:szCs w:val="32"/>
        </w:rPr>
        <w:t>(四)科学实施检查</w:t>
      </w:r>
    </w:p>
    <w:p w14:paraId="78713E6B">
      <w:pPr>
        <w:spacing w:before="224" w:line="340" w:lineRule="auto"/>
        <w:ind w:firstLine="68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严格计划管理，要科学合理制定年度抽查工作计划，及时向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社会公开，并按照年度抽查工作计划组织实施。对未列入年度计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划但实际工作需要开展的抽查，或已列入但需要调整的抽查计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划，严格履行相关程序，调整并公示后方可开展。规范抽查行为，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认真落实《河北省“双随机、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一公开”监管工作规范》要求</w:t>
      </w:r>
      <w:r>
        <w:rPr>
          <w:rFonts w:ascii="仿宋" w:hAnsi="仿宋" w:eastAsia="仿宋" w:cs="仿宋"/>
          <w:spacing w:val="3"/>
          <w:sz w:val="32"/>
          <w:szCs w:val="32"/>
        </w:rPr>
        <w:t>，严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格工作流程和标准。检查人员要持证上岗、亮证执法，严格执行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“扫码入企”规定，规范填写检查记录表，做到全程留痕、责任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可追溯。健全随机抽查后续处置机制，实现监管闭环，抽查结束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后，要及时公示检查结果；对检查中发现的违法违规行为，要依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法依规处理；对属于其他部门管辖的，及时移交相关部门；对涉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嫌犯罪的，及时移送司法机关。加强与信用监管衔接，对抽查发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现违法失信行为实施联合惩戒，增强随机抽查的震慑力。</w:t>
      </w:r>
    </w:p>
    <w:p w14:paraId="5334D568">
      <w:pPr>
        <w:spacing w:line="340" w:lineRule="auto"/>
        <w:rPr>
          <w:rFonts w:ascii="仿宋" w:hAnsi="仿宋" w:eastAsia="仿宋" w:cs="仿宋"/>
          <w:sz w:val="32"/>
          <w:szCs w:val="32"/>
        </w:rPr>
        <w:sectPr>
          <w:footerReference r:id="rId5" w:type="default"/>
          <w:pgSz w:w="12150" w:h="17550"/>
          <w:pgMar w:top="1491" w:right="1329" w:bottom="984" w:left="1510" w:header="0" w:footer="567" w:gutter="0"/>
          <w:cols w:space="720" w:num="1"/>
        </w:sectPr>
      </w:pPr>
    </w:p>
    <w:p w14:paraId="77CE6881">
      <w:pPr>
        <w:pStyle w:val="3"/>
        <w:spacing w:line="303" w:lineRule="auto"/>
      </w:pPr>
    </w:p>
    <w:p w14:paraId="16BFC250">
      <w:pPr>
        <w:pStyle w:val="3"/>
        <w:spacing w:line="304" w:lineRule="auto"/>
      </w:pPr>
    </w:p>
    <w:p w14:paraId="12418522">
      <w:pPr>
        <w:spacing w:before="107" w:line="225" w:lineRule="auto"/>
        <w:ind w:left="78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5"/>
          <w:sz w:val="33"/>
          <w:szCs w:val="33"/>
        </w:rPr>
        <w:t>(五)提高服务意识</w:t>
      </w:r>
    </w:p>
    <w:p w14:paraId="52EB521F">
      <w:pPr>
        <w:spacing w:before="171" w:line="332" w:lineRule="auto"/>
        <w:ind w:right="52" w:firstLine="64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要牢固树立寓服务于监管的理念，推行服务型监管，</w:t>
      </w:r>
      <w:r>
        <w:rPr>
          <w:rFonts w:ascii="仿宋" w:hAnsi="仿宋" w:eastAsia="仿宋" w:cs="仿宋"/>
          <w:spacing w:val="-4"/>
          <w:sz w:val="33"/>
          <w:szCs w:val="33"/>
        </w:rPr>
        <w:t>在抽查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检查过程中开展政策宣讲、合规指导，帮助经营主体及时发现和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纠正问题，积极回应经营主体诉求，提升监管服务效能。</w:t>
      </w:r>
    </w:p>
    <w:p w14:paraId="0364F57F">
      <w:pPr>
        <w:spacing w:before="13" w:line="222" w:lineRule="auto"/>
        <w:ind w:left="654"/>
        <w:outlineLvl w:val="1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3"/>
          <w:sz w:val="33"/>
          <w:szCs w:val="33"/>
        </w:rPr>
        <w:t>三、工作要求</w:t>
      </w:r>
    </w:p>
    <w:p w14:paraId="52C02485">
      <w:pPr>
        <w:spacing w:before="176" w:line="220" w:lineRule="auto"/>
        <w:ind w:left="78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8"/>
          <w:sz w:val="33"/>
          <w:szCs w:val="33"/>
        </w:rPr>
        <w:t>(一)提高认识，加强领导</w:t>
      </w:r>
    </w:p>
    <w:p w14:paraId="488DBCBC">
      <w:pPr>
        <w:spacing w:before="188" w:line="331" w:lineRule="auto"/>
        <w:ind w:right="83" w:firstLine="64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充分认识“双随机、一公开”监管在加强事中事后监管、构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"/>
          <w:sz w:val="33"/>
          <w:szCs w:val="33"/>
        </w:rPr>
        <w:t>建新型监管机制、优化营商环境方面的重要作用，加强组织领导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"/>
          <w:sz w:val="33"/>
          <w:szCs w:val="33"/>
        </w:rPr>
        <w:t>和统筹协调，健全工作制度和运行机制，细化工作目标和推进举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措，确保各项工作任务落到实处、取得实效，为进一步优化</w:t>
      </w:r>
      <w:r>
        <w:rPr>
          <w:rFonts w:ascii="仿宋" w:hAnsi="仿宋" w:eastAsia="仿宋" w:cs="仿宋"/>
          <w:spacing w:val="-4"/>
          <w:sz w:val="33"/>
          <w:szCs w:val="33"/>
        </w:rPr>
        <w:t>营商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环境、助力经营主体高质量发展做出积极贡献。</w:t>
      </w:r>
    </w:p>
    <w:p w14:paraId="5728D53B">
      <w:pPr>
        <w:spacing w:line="220" w:lineRule="auto"/>
        <w:ind w:left="78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8"/>
          <w:sz w:val="33"/>
          <w:szCs w:val="33"/>
        </w:rPr>
        <w:t>(二)履职尽责，真抓实干</w:t>
      </w:r>
    </w:p>
    <w:p w14:paraId="631845A4">
      <w:pPr>
        <w:spacing w:before="216" w:line="329" w:lineRule="auto"/>
        <w:ind w:right="22" w:firstLine="64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各县(市、区)文化和旅游部门、市文化市场综合</w:t>
      </w:r>
      <w:r>
        <w:rPr>
          <w:rFonts w:ascii="仿宋" w:hAnsi="仿宋" w:eastAsia="仿宋" w:cs="仿宋"/>
          <w:spacing w:val="-3"/>
          <w:sz w:val="33"/>
          <w:szCs w:val="33"/>
        </w:rPr>
        <w:t>行政执法局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"/>
          <w:sz w:val="33"/>
          <w:szCs w:val="33"/>
        </w:rPr>
        <w:t>要积极发挥牵头作用，凝聚各方力量，持续在组织协调、推</w:t>
      </w:r>
      <w:r>
        <w:rPr>
          <w:rFonts w:ascii="仿宋" w:hAnsi="仿宋" w:eastAsia="仿宋" w:cs="仿宋"/>
          <w:spacing w:val="-3"/>
          <w:sz w:val="33"/>
          <w:szCs w:val="33"/>
        </w:rPr>
        <w:t>进落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"/>
          <w:sz w:val="33"/>
          <w:szCs w:val="33"/>
        </w:rPr>
        <w:t>实上下功夫。强化大局意识，牢固树立“一盘棋”思</w:t>
      </w:r>
      <w:r>
        <w:rPr>
          <w:rFonts w:ascii="仿宋" w:hAnsi="仿宋" w:eastAsia="仿宋" w:cs="仿宋"/>
          <w:spacing w:val="-3"/>
          <w:sz w:val="33"/>
          <w:szCs w:val="33"/>
        </w:rPr>
        <w:t>想，认真履</w:t>
      </w:r>
      <w:r>
        <w:rPr>
          <w:rFonts w:ascii="仿宋" w:hAnsi="仿宋" w:eastAsia="仿宋" w:cs="仿宋"/>
          <w:sz w:val="33"/>
          <w:szCs w:val="33"/>
        </w:rPr>
        <w:t xml:space="preserve"> 职尽责，积极主动开展工作，相互支持、密切配合、协同促进，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合力推进各项工作任务落实。</w:t>
      </w:r>
    </w:p>
    <w:p w14:paraId="1B41DFB7">
      <w:pPr>
        <w:spacing w:line="220" w:lineRule="auto"/>
        <w:ind w:left="78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9"/>
          <w:sz w:val="33"/>
          <w:szCs w:val="33"/>
        </w:rPr>
        <w:t>(三)严肃纪律，落实责任</w:t>
      </w:r>
    </w:p>
    <w:p w14:paraId="4275546D">
      <w:pPr>
        <w:spacing w:before="216" w:line="324" w:lineRule="auto"/>
        <w:ind w:firstLine="649"/>
        <w:jc w:val="both"/>
        <w:rPr>
          <w:rFonts w:ascii="仿宋" w:hAnsi="仿宋" w:eastAsia="仿宋" w:cs="仿宋"/>
          <w:spacing w:val="-5"/>
          <w:sz w:val="33"/>
          <w:szCs w:val="33"/>
        </w:rPr>
      </w:pPr>
      <w:r>
        <w:rPr>
          <w:rFonts w:ascii="仿宋" w:hAnsi="仿宋" w:eastAsia="仿宋" w:cs="仿宋"/>
          <w:spacing w:val="11"/>
          <w:sz w:val="33"/>
          <w:szCs w:val="33"/>
        </w:rPr>
        <w:t>严格按照《国务院办公厅关于严格规范涉企行政检查的意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ascii="仿宋" w:hAnsi="仿宋" w:eastAsia="仿宋" w:cs="仿宋"/>
          <w:sz w:val="33"/>
          <w:szCs w:val="33"/>
        </w:rPr>
        <w:t>见》(国办发〔2024〕54号)中“五个严禁”、</w:t>
      </w:r>
      <w:r>
        <w:rPr>
          <w:rFonts w:ascii="仿宋" w:hAnsi="仿宋" w:eastAsia="仿宋" w:cs="仿宋"/>
          <w:spacing w:val="-135"/>
          <w:sz w:val="33"/>
          <w:szCs w:val="33"/>
        </w:rPr>
        <w:t xml:space="preserve"> </w:t>
      </w:r>
      <w:r>
        <w:rPr>
          <w:rFonts w:ascii="仿宋" w:hAnsi="仿宋" w:eastAsia="仿宋" w:cs="仿宋"/>
          <w:sz w:val="33"/>
          <w:szCs w:val="33"/>
        </w:rPr>
        <w:t>“八个不</w:t>
      </w:r>
      <w:r>
        <w:rPr>
          <w:rFonts w:ascii="仿宋" w:hAnsi="仿宋" w:eastAsia="仿宋" w:cs="仿宋"/>
          <w:spacing w:val="-1"/>
          <w:sz w:val="33"/>
          <w:szCs w:val="33"/>
        </w:rPr>
        <w:t>得”的要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"/>
          <w:sz w:val="33"/>
          <w:szCs w:val="33"/>
        </w:rPr>
        <w:t>求，强化随机抽查工作全流程管控，严格规范公正文明，切实提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5"/>
          <w:sz w:val="33"/>
          <w:szCs w:val="33"/>
        </w:rPr>
        <w:t>升随机抽查工作效能。</w:t>
      </w:r>
    </w:p>
    <w:p w14:paraId="733ED922">
      <w:pPr>
        <w:spacing w:before="216" w:line="324" w:lineRule="auto"/>
        <w:ind w:firstLine="649"/>
        <w:jc w:val="both"/>
        <w:rPr>
          <w:rFonts w:hint="default" w:asci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2"/>
          <w:szCs w:val="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8890</wp:posOffset>
                </wp:positionV>
                <wp:extent cx="5767070" cy="45720"/>
                <wp:effectExtent l="0" t="0" r="0" b="0"/>
                <wp:wrapNone/>
                <wp:docPr id="7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889" cy="45719"/>
                          <a:chOff x="0" y="0"/>
                          <a:chExt cx="8777" cy="20"/>
                        </a:xfrm>
                      </wpg:grpSpPr>
                      <wps:wsp>
                        <wps:cNvPr id="8" name="Freeform 10"/>
                        <wps:cNvSpPr/>
                        <wps:spPr bwMode="auto">
                          <a:xfrm>
                            <a:off x="7" y="7"/>
                            <a:ext cx="8762" cy="20"/>
                          </a:xfrm>
                          <a:custGeom>
                            <a:avLst/>
                            <a:gdLst>
                              <a:gd name="T0" fmla="*/ 0 w 8762"/>
                              <a:gd name="T1" fmla="*/ 0 h 20"/>
                              <a:gd name="T2" fmla="*/ 8762 w 87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62" h="20">
                                <a:moveTo>
                                  <a:pt x="0" y="0"/>
                                </a:moveTo>
                                <a:lnTo>
                                  <a:pt x="876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margin-left:3.95pt;margin-top:0.7pt;height:3.6pt;width:454.1pt;z-index:-251657216;mso-width-relative:page;mso-height-relative:page;" coordsize="8777,20" o:gfxdata="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OMuUqLVAAAABQEAAA8AAAAAAAAA&#10;AQAgAAAAIgAAAGRycy9kb3ducmV2LnhtbFBLAQIUABQAAAAIAIdO4kD4U/6N+AIAAOMGAAAOAAAA&#10;AAAAAAEAIAAAACQBAABkcnMvZTJvRG9jLnhtbFBLBQYAAAAABgAGAFkBAACOBgAAAAA=&#10;">
                <o:lock v:ext="edit" aspectratio="f"/>
                <v:shape id="Freeform 10" o:spid="_x0000_s1026" o:spt="100" style="position:absolute;left:7;top:7;height:20;width:8762;" filled="f" stroked="t" coordsize="8762,20" o:gfxdata="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aws68AAAA&#10;2gAAAA8AAAAAAAAAAQAgAAAAIgAAAGRycy9kb3ducmV2LnhtbFBLAQIUABQAAAAIAIdO4kAzLwWe&#10;OwAAADkAAAAQAAAAAAAAAAEAIAAAAAsBAABkcnMvc2hhcGV4bWwueG1sUEsFBgAAAAAGAAYAWwEA&#10;ALUDAAAAAA==&#10;" path="m0,0l8762,0e">
                  <v:path o:connectlocs="0,0;8762,0" o:connectangles="0,0"/>
                  <v:fill on="f" focussize="0,0"/>
                  <v:stroke weight="1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headerReference r:id="rId6" w:type="default"/>
      <w:footerReference r:id="rId7" w:type="default"/>
      <w:pgSz w:w="11910" w:h="16840"/>
      <w:pgMar w:top="1984" w:right="1417" w:bottom="1587" w:left="1417" w:header="0" w:footer="0" w:gutter="0"/>
      <w:pgNumType w:fmt="numberInDash" w:start="1"/>
      <w:cols w:equalWidth="0" w:num="1">
        <w:col w:w="90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43C0F">
    <w:pPr>
      <w:spacing w:line="174" w:lineRule="auto"/>
      <w:ind w:left="4309"/>
      <w:rPr>
        <w:rFonts w:ascii="Times New Roman" w:hAnsi="Times New Roman" w:eastAsia="Times New Roman" w:cs="Times New Roman"/>
        <w:sz w:val="32"/>
        <w:szCs w:val="32"/>
      </w:rPr>
    </w:pPr>
    <w:r>
      <w:rPr>
        <w:rFonts w:ascii="仿宋" w:hAnsi="仿宋" w:eastAsia="仿宋" w:cs="仿宋"/>
        <w:spacing w:val="-9"/>
        <w:w w:val="54"/>
        <w:sz w:val="32"/>
        <w:szCs w:val="32"/>
      </w:rPr>
      <w:t>—</w:t>
    </w:r>
    <w:r>
      <w:rPr>
        <w:rFonts w:ascii="仿宋" w:hAnsi="仿宋" w:eastAsia="仿宋" w:cs="仿宋"/>
        <w:spacing w:val="-45"/>
        <w:sz w:val="32"/>
        <w:szCs w:val="32"/>
      </w:rPr>
      <w:t xml:space="preserve"> </w:t>
    </w:r>
    <w:r>
      <w:rPr>
        <w:rFonts w:ascii="Times New Roman" w:hAnsi="Times New Roman" w:eastAsia="Times New Roman" w:cs="Times New Roman"/>
        <w:spacing w:val="-3"/>
        <w:w w:val="98"/>
        <w:sz w:val="32"/>
        <w:szCs w:val="32"/>
      </w:rPr>
      <w:t>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B3AAD">
    <w:pPr>
      <w:spacing w:line="174" w:lineRule="auto"/>
      <w:ind w:left="4320"/>
      <w:rPr>
        <w:rFonts w:ascii="Times New Roman" w:hAnsi="Times New Roman" w:eastAsia="Times New Roman" w:cs="Times New Roman"/>
        <w:sz w:val="32"/>
        <w:szCs w:val="32"/>
      </w:rPr>
    </w:pPr>
    <w:r>
      <w:rPr>
        <w:rFonts w:ascii="宋体" w:hAnsi="宋体" w:eastAsia="宋体" w:cs="宋体"/>
        <w:spacing w:val="-9"/>
        <w:w w:val="57"/>
        <w:sz w:val="32"/>
        <w:szCs w:val="32"/>
      </w:rPr>
      <w:t>—</w:t>
    </w:r>
    <w:r>
      <w:rPr>
        <w:rFonts w:ascii="宋体" w:hAnsi="宋体" w:eastAsia="宋体" w:cs="宋体"/>
        <w:spacing w:val="-55"/>
        <w:sz w:val="32"/>
        <w:szCs w:val="32"/>
      </w:rPr>
      <w:t xml:space="preserve"> </w:t>
    </w:r>
    <w:r>
      <w:rPr>
        <w:rFonts w:ascii="Times New Roman" w:hAnsi="Times New Roman" w:eastAsia="Times New Roman" w:cs="Times New Roman"/>
        <w:spacing w:val="-5"/>
        <w:sz w:val="32"/>
        <w:szCs w:val="32"/>
      </w:rPr>
      <w:t>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2C66B">
    <w:pPr>
      <w:spacing w:line="235" w:lineRule="auto"/>
      <w:ind w:left="434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6"/>
        <w:sz w:val="32"/>
        <w:szCs w:val="32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387C6">
    <w:pPr>
      <w:pStyle w:val="3"/>
      <w:kinsoku w:val="0"/>
      <w:overflowPunct w:val="0"/>
      <w:spacing w:line="14" w:lineRule="auto"/>
      <w:ind w:left="0"/>
      <w:rPr>
        <w:rFonts w:ascii="Times New Roman" w:cs="Times New Roman" w:eastAsiaTheme="minorEastAsia"/>
        <w:sz w:val="2"/>
        <w:szCs w:val="2"/>
      </w:rPr>
    </w:pPr>
    <w:r>
      <w:rPr>
        <w:rFonts w:hint="eastAsia" w:ascii="Times New Roman" w:cs="Times New Roman" w:eastAsiaTheme="minorEastAsia"/>
        <w:sz w:val="2"/>
        <w:szCs w:val="2"/>
        <w:lang w:val="en-US" w:eastAsia="zh-CN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B3B9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HorizontalSpacing w:val="164"/>
  <w:drawingGridVerticalSpacing w:val="911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doNotValidateAgainstSchema/>
  <w:doNotDemarcateInvalidXml/>
  <w:compat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YmIzNzhhMDJlYjY0NzUxZGIzZjk5ZDAyMmNhZTYifQ=="/>
  </w:docVars>
  <w:rsids>
    <w:rsidRoot w:val="00E81EA5"/>
    <w:rsid w:val="0000477E"/>
    <w:rsid w:val="00014372"/>
    <w:rsid w:val="0003074A"/>
    <w:rsid w:val="00052CED"/>
    <w:rsid w:val="000F2CAB"/>
    <w:rsid w:val="000F30A3"/>
    <w:rsid w:val="000F7159"/>
    <w:rsid w:val="0010502F"/>
    <w:rsid w:val="001569B3"/>
    <w:rsid w:val="001A26A2"/>
    <w:rsid w:val="001E3E98"/>
    <w:rsid w:val="0021193B"/>
    <w:rsid w:val="00214CB3"/>
    <w:rsid w:val="00234B70"/>
    <w:rsid w:val="0027137E"/>
    <w:rsid w:val="002A6925"/>
    <w:rsid w:val="002B4746"/>
    <w:rsid w:val="002F2A39"/>
    <w:rsid w:val="002F41A7"/>
    <w:rsid w:val="00344EFB"/>
    <w:rsid w:val="00360F12"/>
    <w:rsid w:val="003614D5"/>
    <w:rsid w:val="00372EB5"/>
    <w:rsid w:val="003A0F9B"/>
    <w:rsid w:val="003C6FAA"/>
    <w:rsid w:val="003F3252"/>
    <w:rsid w:val="00416362"/>
    <w:rsid w:val="0047256A"/>
    <w:rsid w:val="00537A98"/>
    <w:rsid w:val="00540056"/>
    <w:rsid w:val="005E4071"/>
    <w:rsid w:val="00693127"/>
    <w:rsid w:val="00695EB8"/>
    <w:rsid w:val="006A6A42"/>
    <w:rsid w:val="006B496C"/>
    <w:rsid w:val="006C0777"/>
    <w:rsid w:val="006D2734"/>
    <w:rsid w:val="006D470C"/>
    <w:rsid w:val="006E0018"/>
    <w:rsid w:val="00707134"/>
    <w:rsid w:val="007430DA"/>
    <w:rsid w:val="00760962"/>
    <w:rsid w:val="007B7788"/>
    <w:rsid w:val="007D2FD9"/>
    <w:rsid w:val="007E6989"/>
    <w:rsid w:val="008143F0"/>
    <w:rsid w:val="0084660E"/>
    <w:rsid w:val="008B6FC0"/>
    <w:rsid w:val="008C3461"/>
    <w:rsid w:val="008C6659"/>
    <w:rsid w:val="008E69C5"/>
    <w:rsid w:val="00900BF2"/>
    <w:rsid w:val="00924C63"/>
    <w:rsid w:val="0092521F"/>
    <w:rsid w:val="00950550"/>
    <w:rsid w:val="0096028A"/>
    <w:rsid w:val="00976093"/>
    <w:rsid w:val="009C16F6"/>
    <w:rsid w:val="009D3FAD"/>
    <w:rsid w:val="00A2725A"/>
    <w:rsid w:val="00AA5514"/>
    <w:rsid w:val="00AB73E8"/>
    <w:rsid w:val="00AC1713"/>
    <w:rsid w:val="00B64364"/>
    <w:rsid w:val="00BE550A"/>
    <w:rsid w:val="00C37C8E"/>
    <w:rsid w:val="00D747FD"/>
    <w:rsid w:val="00DD5A67"/>
    <w:rsid w:val="00DE27B0"/>
    <w:rsid w:val="00DE7363"/>
    <w:rsid w:val="00E81EA5"/>
    <w:rsid w:val="00EA5A19"/>
    <w:rsid w:val="00EA7A73"/>
    <w:rsid w:val="00EC5341"/>
    <w:rsid w:val="00ED069E"/>
    <w:rsid w:val="00F376BF"/>
    <w:rsid w:val="00F633A2"/>
    <w:rsid w:val="00F66588"/>
    <w:rsid w:val="00F71EBA"/>
    <w:rsid w:val="00FC61F6"/>
    <w:rsid w:val="00FE5182"/>
    <w:rsid w:val="00FF3338"/>
    <w:rsid w:val="01B464A4"/>
    <w:rsid w:val="02BA6B3C"/>
    <w:rsid w:val="03947F55"/>
    <w:rsid w:val="03FE3CA5"/>
    <w:rsid w:val="044773B2"/>
    <w:rsid w:val="05FE4733"/>
    <w:rsid w:val="062F3250"/>
    <w:rsid w:val="074712A8"/>
    <w:rsid w:val="0D2014D6"/>
    <w:rsid w:val="0D41658A"/>
    <w:rsid w:val="0DC433D5"/>
    <w:rsid w:val="0EEC62C4"/>
    <w:rsid w:val="0F0F3A3B"/>
    <w:rsid w:val="10774A97"/>
    <w:rsid w:val="10C84F83"/>
    <w:rsid w:val="1124528E"/>
    <w:rsid w:val="11515202"/>
    <w:rsid w:val="118A4746"/>
    <w:rsid w:val="125D5EF9"/>
    <w:rsid w:val="13A95830"/>
    <w:rsid w:val="147A286F"/>
    <w:rsid w:val="14B35ABC"/>
    <w:rsid w:val="16AC6952"/>
    <w:rsid w:val="16FC0019"/>
    <w:rsid w:val="18C66128"/>
    <w:rsid w:val="1955117E"/>
    <w:rsid w:val="1A504391"/>
    <w:rsid w:val="1DB304D1"/>
    <w:rsid w:val="20181590"/>
    <w:rsid w:val="21B24356"/>
    <w:rsid w:val="221768AF"/>
    <w:rsid w:val="2351253E"/>
    <w:rsid w:val="235F05A0"/>
    <w:rsid w:val="25315E86"/>
    <w:rsid w:val="2765311F"/>
    <w:rsid w:val="276B5630"/>
    <w:rsid w:val="27CA4CC7"/>
    <w:rsid w:val="2E5161D8"/>
    <w:rsid w:val="30F24AB9"/>
    <w:rsid w:val="312427F1"/>
    <w:rsid w:val="32A014F9"/>
    <w:rsid w:val="32AE6532"/>
    <w:rsid w:val="34795E12"/>
    <w:rsid w:val="347C1A65"/>
    <w:rsid w:val="359D4169"/>
    <w:rsid w:val="37795F17"/>
    <w:rsid w:val="37B213A9"/>
    <w:rsid w:val="388163D9"/>
    <w:rsid w:val="39344F8B"/>
    <w:rsid w:val="3B6C7846"/>
    <w:rsid w:val="3B9815AF"/>
    <w:rsid w:val="3DFA6BFA"/>
    <w:rsid w:val="3EF142B8"/>
    <w:rsid w:val="3F51473E"/>
    <w:rsid w:val="3F7170B1"/>
    <w:rsid w:val="40EA11C7"/>
    <w:rsid w:val="4407278A"/>
    <w:rsid w:val="44931781"/>
    <w:rsid w:val="459857EA"/>
    <w:rsid w:val="4646797C"/>
    <w:rsid w:val="46CC1C7E"/>
    <w:rsid w:val="47761A6F"/>
    <w:rsid w:val="4B426609"/>
    <w:rsid w:val="521F2920"/>
    <w:rsid w:val="535B7AFB"/>
    <w:rsid w:val="543C4BFE"/>
    <w:rsid w:val="56D455F1"/>
    <w:rsid w:val="58514147"/>
    <w:rsid w:val="58D32208"/>
    <w:rsid w:val="59802DA2"/>
    <w:rsid w:val="59DD7A04"/>
    <w:rsid w:val="59ED3194"/>
    <w:rsid w:val="5A285C23"/>
    <w:rsid w:val="5A851901"/>
    <w:rsid w:val="5CC94D93"/>
    <w:rsid w:val="5D9923BD"/>
    <w:rsid w:val="5DD01B79"/>
    <w:rsid w:val="5E2420D4"/>
    <w:rsid w:val="5F150B51"/>
    <w:rsid w:val="5F546472"/>
    <w:rsid w:val="5FBC78AE"/>
    <w:rsid w:val="607F0675"/>
    <w:rsid w:val="61A22D98"/>
    <w:rsid w:val="6B833C3B"/>
    <w:rsid w:val="6C5F7359"/>
    <w:rsid w:val="6CEB1A97"/>
    <w:rsid w:val="6F655B31"/>
    <w:rsid w:val="70BA1EAD"/>
    <w:rsid w:val="70BA7641"/>
    <w:rsid w:val="71F612F9"/>
    <w:rsid w:val="75F55735"/>
    <w:rsid w:val="76966F18"/>
    <w:rsid w:val="76A258BD"/>
    <w:rsid w:val="7C3847D9"/>
    <w:rsid w:val="7E1E1C40"/>
    <w:rsid w:val="7E82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1"/>
    <w:pPr>
      <w:ind w:left="115"/>
      <w:outlineLvl w:val="0"/>
    </w:pPr>
    <w:rPr>
      <w:rFonts w:ascii="宋体" w:eastAsia="宋体" w:cs="宋体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autoRedefine/>
    <w:qFormat/>
    <w:uiPriority w:val="1"/>
    <w:pPr>
      <w:ind w:left="108"/>
    </w:pPr>
    <w:rPr>
      <w:rFonts w:ascii="宋体" w:eastAsia="宋体" w:cs="宋体"/>
      <w:sz w:val="32"/>
      <w:szCs w:val="32"/>
    </w:rPr>
  </w:style>
  <w:style w:type="paragraph" w:styleId="4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TML Variable"/>
    <w:autoRedefine/>
    <w:unhideWhenUsed/>
    <w:qFormat/>
    <w:uiPriority w:val="0"/>
    <w:rPr>
      <w:rFonts w:ascii="Times New Roman" w:hAnsi="Times New Roman" w:eastAsia="宋体" w:cs="FZSY--SURROGATE-0"/>
      <w:i/>
      <w:iCs/>
    </w:rPr>
  </w:style>
  <w:style w:type="character" w:styleId="12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Heading3"/>
    <w:basedOn w:val="1"/>
    <w:next w:val="1"/>
    <w:autoRedefine/>
    <w:qFormat/>
    <w:uiPriority w:val="99"/>
    <w:pPr>
      <w:keepNext/>
      <w:keepLines/>
      <w:spacing w:line="560" w:lineRule="exact"/>
      <w:textAlignment w:val="baseline"/>
    </w:pPr>
    <w:rPr>
      <w:rFonts w:ascii="Calibri" w:hAnsi="Calibri" w:cs="Calibri"/>
      <w:b/>
      <w:bCs/>
    </w:rPr>
  </w:style>
  <w:style w:type="character" w:customStyle="1" w:styleId="14">
    <w:name w:val="正文文本 字符"/>
    <w:basedOn w:val="9"/>
    <w:link w:val="3"/>
    <w:autoRedefine/>
    <w:semiHidden/>
    <w:qFormat/>
    <w:uiPriority w:val="99"/>
    <w:rPr>
      <w:rFonts w:ascii="Times New Roman" w:hAnsi="Times New Roman" w:cs="Times New Roman"/>
      <w:kern w:val="0"/>
      <w:sz w:val="24"/>
      <w:szCs w:val="24"/>
    </w:rPr>
  </w:style>
  <w:style w:type="character" w:customStyle="1" w:styleId="15">
    <w:name w:val="标题 1 字符"/>
    <w:basedOn w:val="9"/>
    <w:link w:val="2"/>
    <w:autoRedefine/>
    <w:qFormat/>
    <w:uiPriority w:val="9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16">
    <w:name w:val="List Paragraph"/>
    <w:basedOn w:val="1"/>
    <w:autoRedefine/>
    <w:qFormat/>
    <w:uiPriority w:val="1"/>
  </w:style>
  <w:style w:type="paragraph" w:customStyle="1" w:styleId="17">
    <w:name w:val="Table Paragraph"/>
    <w:basedOn w:val="1"/>
    <w:autoRedefine/>
    <w:qFormat/>
    <w:uiPriority w:val="1"/>
  </w:style>
  <w:style w:type="character" w:customStyle="1" w:styleId="18">
    <w:name w:val="页眉 字符"/>
    <w:basedOn w:val="9"/>
    <w:link w:val="6"/>
    <w:autoRedefine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9">
    <w:name w:val="页脚 字符"/>
    <w:basedOn w:val="9"/>
    <w:link w:val="5"/>
    <w:autoRedefine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20">
    <w:name w:val="批注框文本 字符"/>
    <w:basedOn w:val="9"/>
    <w:link w:val="4"/>
    <w:autoRedefine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customStyle="1" w:styleId="21">
    <w:name w:val="Heading #2|1"/>
    <w:basedOn w:val="1"/>
    <w:autoRedefine/>
    <w:qFormat/>
    <w:uiPriority w:val="0"/>
    <w:pPr>
      <w:widowControl w:val="0"/>
      <w:shd w:val="clear" w:color="auto" w:fill="auto"/>
      <w:spacing w:after="540" w:line="662" w:lineRule="exact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2">
    <w:name w:val="Body text|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9ACDD8-21E4-42ED-BBF8-7487FBC9D3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2159</Words>
  <Characters>2194</Characters>
  <Lines>3</Lines>
  <Paragraphs>1</Paragraphs>
  <TotalTime>1</TotalTime>
  <ScaleCrop>false</ScaleCrop>
  <LinksUpToDate>false</LinksUpToDate>
  <CharactersWithSpaces>2341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2020-01-08T06:56:00Z</dcterms:created>
  <dc:creator>冯樱</dc:creator>
  <cp:lastModifiedBy>执法队</cp:lastModifiedBy>
  <cp:lastPrinted>2024-01-30T02:15:00Z</cp:lastPrinted>
  <dcterms:modified xsi:type="dcterms:W3CDTF">2026-03-25T03:46:36Z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Office</vt:lpwstr>
  </property>
  <property fmtid="{D5CDD505-2E9C-101B-9397-08002B2CF9AE}" pid="3" name="KSOProductBuildVer">
    <vt:lpwstr>2052-12.1.0.25225</vt:lpwstr>
  </property>
  <property fmtid="{D5CDD505-2E9C-101B-9397-08002B2CF9AE}" pid="4" name="ICV">
    <vt:lpwstr>56070B2CA1FD466AABB7E52D28AF0DC7_13</vt:lpwstr>
  </property>
  <property fmtid="{D5CDD505-2E9C-101B-9397-08002B2CF9AE}" pid="5" name="KSOTemplateDocerSaveRecord">
    <vt:lpwstr>eyJoZGlkIjoiMTlhYmIzNzhhMDJlYjY0NzUxZGIzZjk5ZDAyMmNhZTYiLCJ1c2VySWQiOiIxMDA5OTQxNTYwIn0=</vt:lpwstr>
  </property>
</Properties>
</file>