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C6390">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color w:val="auto"/>
          <w:sz w:val="32"/>
          <w:szCs w:val="32"/>
          <w:lang w:val="en-US" w:eastAsia="zh-CN"/>
        </w:rPr>
      </w:pPr>
    </w:p>
    <w:p w14:paraId="3A9C5853">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color w:val="auto"/>
          <w:sz w:val="32"/>
          <w:szCs w:val="32"/>
          <w:lang w:val="en-US" w:eastAsia="zh-CN"/>
        </w:rPr>
      </w:pPr>
    </w:p>
    <w:p w14:paraId="69EA6C1E">
      <w:pPr>
        <w:keepNext w:val="0"/>
        <w:keepLines w:val="0"/>
        <w:pageBreakBefore w:val="0"/>
        <w:widowControl w:val="0"/>
        <w:kinsoku/>
        <w:wordWrap/>
        <w:overflowPunct/>
        <w:topLinePunct w:val="0"/>
        <w:autoSpaceDE/>
        <w:autoSpaceDN/>
        <w:bidi w:val="0"/>
        <w:adjustRightInd/>
        <w:snapToGrid/>
        <w:spacing w:before="160" w:line="560" w:lineRule="exact"/>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仿宋_GB2312" w:hAnsi="仿宋_GB2312" w:eastAsia="仿宋_GB2312" w:cs="仿宋_GB2312"/>
          <w:color w:val="auto"/>
          <w:sz w:val="32"/>
          <w:szCs w:val="32"/>
          <w:lang w:val="en-US" w:eastAsia="zh-CN"/>
        </w:rPr>
        <w:t>高市监字〔2026〕 号</w:t>
      </w:r>
    </w:p>
    <w:p w14:paraId="328D1883">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rPr>
      </w:pPr>
    </w:p>
    <w:p w14:paraId="769AD763">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方正小标宋_GBK" w:cs="Times New Roman"/>
          <w:snapToGrid w:val="0"/>
          <w:color w:val="000000"/>
          <w:spacing w:val="-4"/>
          <w:sz w:val="30"/>
          <w:szCs w:val="30"/>
        </w:rPr>
      </w:pPr>
      <w:r>
        <w:rPr>
          <w:rFonts w:hint="eastAsia" w:ascii="方正小标宋简体" w:hAnsi="方正小标宋简体" w:eastAsia="方正小标宋简体" w:cs="方正小标宋简体"/>
          <w:b w:val="0"/>
          <w:bCs w:val="0"/>
          <w:sz w:val="44"/>
          <w:szCs w:val="44"/>
          <w:lang w:eastAsia="zh-CN"/>
        </w:rPr>
        <w:t>高阳县</w:t>
      </w:r>
      <w:r>
        <w:rPr>
          <w:rFonts w:hint="eastAsia" w:ascii="方正小标宋简体" w:hAnsi="方正小标宋简体" w:eastAsia="方正小标宋简体" w:cs="方正小标宋简体"/>
          <w:b w:val="0"/>
          <w:bCs w:val="0"/>
          <w:sz w:val="44"/>
          <w:szCs w:val="44"/>
          <w:lang w:val="en-US" w:eastAsia="zh-CN"/>
        </w:rPr>
        <w:t>市场监督管理局</w:t>
      </w:r>
    </w:p>
    <w:p w14:paraId="717F3A66">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jc w:val="center"/>
        <w:textAlignment w:val="auto"/>
        <w:outlineLvl w:val="9"/>
        <w:rPr>
          <w:rFonts w:hint="eastAsia" w:ascii="Times New Roman" w:hAnsi="Times New Roman" w:eastAsia="方正小标宋简体" w:cs="Times New Roman"/>
          <w:spacing w:val="-4"/>
          <w:kern w:val="0"/>
          <w:sz w:val="44"/>
          <w:szCs w:val="44"/>
          <w:lang w:val="en-US" w:eastAsia="zh-CN" w:bidi="ar-SA"/>
        </w:rPr>
      </w:pPr>
      <w:r>
        <w:rPr>
          <w:rFonts w:hint="eastAsia" w:ascii="Times New Roman" w:hAnsi="Times New Roman" w:eastAsia="方正小标宋简体" w:cs="Times New Roman"/>
          <w:spacing w:val="-4"/>
          <w:kern w:val="0"/>
          <w:sz w:val="44"/>
          <w:szCs w:val="44"/>
          <w:lang w:val="en-US" w:eastAsia="zh-CN" w:bidi="ar-SA"/>
        </w:rPr>
        <w:t>关于印发202</w:t>
      </w:r>
      <w:r>
        <w:rPr>
          <w:rFonts w:hint="eastAsia" w:eastAsia="方正小标宋简体" w:cs="Times New Roman"/>
          <w:spacing w:val="-4"/>
          <w:kern w:val="0"/>
          <w:sz w:val="44"/>
          <w:szCs w:val="44"/>
          <w:lang w:val="en-US" w:eastAsia="zh-CN" w:bidi="ar-SA"/>
        </w:rPr>
        <w:t>6</w:t>
      </w:r>
      <w:r>
        <w:rPr>
          <w:rFonts w:hint="eastAsia" w:ascii="Times New Roman" w:hAnsi="Times New Roman" w:eastAsia="方正小标宋简体" w:cs="Times New Roman"/>
          <w:spacing w:val="-4"/>
          <w:kern w:val="0"/>
          <w:sz w:val="44"/>
          <w:szCs w:val="44"/>
          <w:lang w:val="en-US" w:eastAsia="zh-CN" w:bidi="ar-SA"/>
        </w:rPr>
        <w:t>年</w:t>
      </w:r>
      <w:r>
        <w:rPr>
          <w:rFonts w:hint="eastAsia" w:eastAsia="方正小标宋简体" w:cs="Times New Roman"/>
          <w:spacing w:val="-4"/>
          <w:kern w:val="0"/>
          <w:sz w:val="44"/>
          <w:szCs w:val="44"/>
          <w:lang w:val="en-US" w:eastAsia="zh-CN" w:bidi="ar-SA"/>
        </w:rPr>
        <w:t>高阳县</w:t>
      </w:r>
      <w:r>
        <w:rPr>
          <w:rFonts w:hint="eastAsia" w:ascii="Times New Roman" w:hAnsi="Times New Roman" w:eastAsia="方正小标宋简体" w:cs="Times New Roman"/>
          <w:spacing w:val="-4"/>
          <w:kern w:val="0"/>
          <w:sz w:val="44"/>
          <w:szCs w:val="44"/>
          <w:lang w:val="en-US" w:eastAsia="zh-CN" w:bidi="ar-SA"/>
        </w:rPr>
        <w:t>“双随机、一公开”</w:t>
      </w:r>
    </w:p>
    <w:p w14:paraId="4CDE122C">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jc w:val="center"/>
        <w:textAlignment w:val="auto"/>
        <w:outlineLvl w:val="9"/>
        <w:rPr>
          <w:rFonts w:hint="default" w:ascii="Times New Roman" w:hAnsi="Times New Roman" w:eastAsia="方正小标宋简体" w:cs="Times New Roman"/>
          <w:spacing w:val="-4"/>
        </w:rPr>
      </w:pPr>
      <w:r>
        <w:rPr>
          <w:rFonts w:hint="eastAsia" w:ascii="Times New Roman" w:hAnsi="Times New Roman" w:eastAsia="方正小标宋简体" w:cs="Times New Roman"/>
          <w:spacing w:val="-4"/>
          <w:kern w:val="0"/>
          <w:sz w:val="44"/>
          <w:szCs w:val="44"/>
          <w:lang w:val="en-US" w:eastAsia="zh-CN" w:bidi="ar-SA"/>
        </w:rPr>
        <w:t>监管工作实施方案的通知</w:t>
      </w:r>
    </w:p>
    <w:p w14:paraId="3A5015DA">
      <w:pPr>
        <w:pStyle w:val="3"/>
        <w:pageBreakBefore w:val="0"/>
        <w:widowControl w:val="0"/>
        <w:kinsoku w:val="0"/>
        <w:wordWrap/>
        <w:overflowPunct w:val="0"/>
        <w:topLinePunct w:val="0"/>
        <w:bidi w:val="0"/>
        <w:spacing w:line="560" w:lineRule="exact"/>
        <w:ind w:left="0" w:right="0" w:rightChars="0" w:firstLine="660" w:firstLineChars="200"/>
        <w:rPr>
          <w:rFonts w:hint="default" w:ascii="Times New Roman" w:hAnsi="Times New Roman" w:cs="Times New Roman"/>
          <w:sz w:val="33"/>
          <w:szCs w:val="33"/>
        </w:rPr>
      </w:pPr>
    </w:p>
    <w:p w14:paraId="37E95148">
      <w:pPr>
        <w:pStyle w:val="3"/>
        <w:keepNext w:val="0"/>
        <w:keepLines w:val="0"/>
        <w:pageBreakBefore w:val="0"/>
        <w:widowControl w:val="0"/>
        <w:kinsoku w:val="0"/>
        <w:wordWrap/>
        <w:overflowPunct w:val="0"/>
        <w:topLinePunct w:val="0"/>
        <w:autoSpaceDE w:val="0"/>
        <w:autoSpaceDN w:val="0"/>
        <w:bidi w:val="0"/>
        <w:adjustRightInd w:val="0"/>
        <w:snapToGrid/>
        <w:spacing w:line="560" w:lineRule="exact"/>
        <w:ind w:left="0" w:right="0" w:rightChars="0"/>
        <w:textAlignment w:val="auto"/>
        <w:rPr>
          <w:rFonts w:hint="eastAsia" w:ascii="仿宋_GB2312" w:hAnsi="仿宋_GB2312" w:eastAsia="仿宋_GB2312" w:cs="仿宋_GB2312"/>
          <w:snapToGrid w:val="0"/>
          <w:color w:val="000000"/>
          <w:w w:val="100"/>
          <w:sz w:val="32"/>
          <w:szCs w:val="32"/>
        </w:rPr>
      </w:pPr>
      <w:r>
        <w:rPr>
          <w:rFonts w:hint="eastAsia" w:ascii="仿宋_GB2312" w:hAnsi="仿宋_GB2312" w:eastAsia="仿宋_GB2312" w:cs="仿宋_GB2312"/>
          <w:kern w:val="2"/>
          <w:sz w:val="32"/>
          <w:szCs w:val="32"/>
          <w:lang w:val="en-US" w:eastAsia="zh-CN" w:bidi="ar-SA"/>
        </w:rPr>
        <w:t>各县直有关部门</w:t>
      </w:r>
      <w:r>
        <w:rPr>
          <w:rFonts w:hint="eastAsia" w:ascii="仿宋_GB2312" w:hAnsi="仿宋_GB2312" w:eastAsia="仿宋_GB2312" w:cs="仿宋_GB2312"/>
          <w:color w:val="auto"/>
          <w:sz w:val="32"/>
          <w:szCs w:val="32"/>
        </w:rPr>
        <w:t>：</w:t>
      </w:r>
    </w:p>
    <w:p w14:paraId="01235528">
      <w:pPr>
        <w:pStyle w:val="12"/>
        <w:pageBreakBefore w:val="0"/>
        <w:widowControl w:val="0"/>
        <w:wordWrap/>
        <w:topLinePunct w:val="0"/>
        <w:bidi w:val="0"/>
        <w:spacing w:line="560" w:lineRule="exact"/>
        <w:ind w:left="0" w:right="0" w:rightChars="0" w:firstLine="640" w:firstLineChars="200"/>
        <w:jc w:val="both"/>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按照市委市政府有关工作部署要求，我局制定了《2026年高阳县“双随机、一公开”监管工作实施方案》，现予以印发，请各单位认真执行。</w:t>
      </w:r>
    </w:p>
    <w:p w14:paraId="22BB04BE">
      <w:pPr>
        <w:pStyle w:val="12"/>
        <w:pageBreakBefore w:val="0"/>
        <w:widowControl w:val="0"/>
        <w:wordWrap/>
        <w:topLinePunct w:val="0"/>
        <w:bidi w:val="0"/>
        <w:spacing w:line="560" w:lineRule="exact"/>
        <w:ind w:left="0" w:right="0" w:rightChars="0" w:firstLine="643" w:firstLineChars="200"/>
        <w:jc w:val="both"/>
        <w:rPr>
          <w:rFonts w:hint="eastAsia" w:ascii="仿宋_GB2312" w:hAnsi="仿宋_GB2312" w:eastAsia="仿宋_GB2312" w:cs="仿宋_GB2312"/>
          <w:sz w:val="32"/>
          <w:szCs w:val="32"/>
        </w:rPr>
      </w:pPr>
    </w:p>
    <w:p w14:paraId="5B72A648">
      <w:pPr>
        <w:pageBreakBefore w:val="0"/>
        <w:widowControl w:val="0"/>
        <w:wordWrap/>
        <w:topLinePunct w:val="0"/>
        <w:bidi w:val="0"/>
        <w:spacing w:line="560" w:lineRule="exact"/>
        <w:ind w:left="0" w:right="0" w:rightChars="0"/>
        <w:rPr>
          <w:rFonts w:hint="eastAsia" w:ascii="仿宋_GB2312" w:hAnsi="仿宋_GB2312" w:eastAsia="仿宋_GB2312" w:cs="仿宋_GB2312"/>
          <w:sz w:val="32"/>
          <w:szCs w:val="32"/>
        </w:rPr>
      </w:pPr>
    </w:p>
    <w:p w14:paraId="5FF03735">
      <w:pPr>
        <w:pageBreakBefore w:val="0"/>
        <w:widowControl w:val="0"/>
        <w:wordWrap/>
        <w:topLinePunct w:val="0"/>
        <w:bidi w:val="0"/>
        <w:spacing w:line="560" w:lineRule="exact"/>
        <w:ind w:left="0" w:right="0" w:rightChars="0"/>
        <w:rPr>
          <w:rFonts w:hint="eastAsia" w:ascii="仿宋_GB2312" w:hAnsi="仿宋_GB2312" w:eastAsia="仿宋_GB2312" w:cs="仿宋_GB2312"/>
          <w:sz w:val="32"/>
          <w:szCs w:val="32"/>
        </w:rPr>
      </w:pPr>
    </w:p>
    <w:p w14:paraId="1169B194">
      <w:pPr>
        <w:pageBreakBefore w:val="0"/>
        <w:widowControl w:val="0"/>
        <w:wordWrap/>
        <w:topLinePunct w:val="0"/>
        <w:bidi w:val="0"/>
        <w:spacing w:line="560" w:lineRule="exact"/>
        <w:ind w:left="0" w:right="0" w:rightChars="0"/>
        <w:rPr>
          <w:rFonts w:hint="eastAsia" w:ascii="仿宋_GB2312" w:hAnsi="仿宋_GB2312" w:eastAsia="仿宋_GB2312" w:cs="仿宋_GB2312"/>
          <w:sz w:val="32"/>
          <w:szCs w:val="32"/>
        </w:rPr>
      </w:pPr>
    </w:p>
    <w:p w14:paraId="73AD6F6E">
      <w:pPr>
        <w:pageBreakBefore w:val="0"/>
        <w:widowControl w:val="0"/>
        <w:wordWrap/>
        <w:topLinePunct w:val="0"/>
        <w:bidi w:val="0"/>
        <w:spacing w:line="560" w:lineRule="exact"/>
        <w:ind w:left="0" w:right="0" w:rightChars="0"/>
        <w:rPr>
          <w:rFonts w:hint="eastAsia" w:ascii="仿宋_GB2312" w:hAnsi="仿宋_GB2312" w:eastAsia="仿宋_GB2312" w:cs="仿宋_GB2312"/>
          <w:sz w:val="32"/>
          <w:szCs w:val="32"/>
        </w:rPr>
      </w:pPr>
    </w:p>
    <w:p w14:paraId="75A8333F">
      <w:pPr>
        <w:pageBreakBefore w:val="0"/>
        <w:widowControl w:val="0"/>
        <w:wordWrap/>
        <w:topLinePunct w:val="0"/>
        <w:bidi w:val="0"/>
        <w:spacing w:line="560" w:lineRule="exact"/>
        <w:ind w:left="0" w:right="0" w:rightChars="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 xml:space="preserve">                   高阳县市场监督管理局</w:t>
      </w:r>
    </w:p>
    <w:p w14:paraId="036EE5D2">
      <w:pPr>
        <w:pageBreakBefore w:val="0"/>
        <w:widowControl w:val="0"/>
        <w:wordWrap/>
        <w:topLinePunct w:val="0"/>
        <w:bidi w:val="0"/>
        <w:spacing w:line="560" w:lineRule="exact"/>
        <w:ind w:left="0" w:right="0" w:rightChars="0"/>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 xml:space="preserve">                  2026年3月10日</w:t>
      </w:r>
    </w:p>
    <w:p w14:paraId="1F088424">
      <w:pPr>
        <w:pageBreakBefore w:val="0"/>
        <w:widowControl w:val="0"/>
        <w:wordWrap/>
        <w:topLinePunct w:val="0"/>
        <w:bidi w:val="0"/>
        <w:spacing w:line="560" w:lineRule="exact"/>
        <w:ind w:left="0" w:right="0" w:rightChars="0"/>
        <w:rPr>
          <w:rFonts w:hint="eastAsia" w:ascii="黑体" w:hAnsi="黑体" w:eastAsia="黑体" w:cs="黑体"/>
          <w:sz w:val="32"/>
          <w:szCs w:val="32"/>
          <w:lang w:val="en-US" w:eastAsia="zh-CN"/>
        </w:rPr>
        <w:sectPr>
          <w:footerReference r:id="rId3" w:type="default"/>
          <w:pgSz w:w="11910" w:h="16840"/>
          <w:pgMar w:top="2098" w:right="1474" w:bottom="1984" w:left="1587" w:header="0" w:footer="0" w:gutter="0"/>
          <w:pgNumType w:fmt="numberInDash"/>
          <w:cols w:equalWidth="0" w:num="1">
            <w:col w:w="9069"/>
          </w:cols>
        </w:sectPr>
      </w:pPr>
    </w:p>
    <w:p w14:paraId="5CE2366F">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jc w:val="center"/>
        <w:textAlignment w:val="auto"/>
        <w:outlineLvl w:val="9"/>
        <w:rPr>
          <w:rFonts w:hint="eastAsia" w:ascii="Times New Roman" w:hAnsi="Times New Roman" w:eastAsia="方正小标宋简体" w:cs="Times New Roman"/>
          <w:spacing w:val="-4"/>
          <w:kern w:val="0"/>
          <w:sz w:val="44"/>
          <w:szCs w:val="44"/>
          <w:lang w:val="en-US" w:eastAsia="zh-CN" w:bidi="ar-SA"/>
        </w:rPr>
      </w:pPr>
      <w:r>
        <w:rPr>
          <w:rFonts w:hint="eastAsia" w:ascii="Times New Roman" w:hAnsi="Times New Roman" w:eastAsia="方正小标宋简体" w:cs="Times New Roman"/>
          <w:spacing w:val="-4"/>
          <w:kern w:val="0"/>
          <w:sz w:val="44"/>
          <w:szCs w:val="44"/>
          <w:lang w:val="en-US" w:eastAsia="zh-CN" w:bidi="ar-SA"/>
        </w:rPr>
        <w:t>202</w:t>
      </w:r>
      <w:r>
        <w:rPr>
          <w:rFonts w:hint="eastAsia" w:eastAsia="方正小标宋简体" w:cs="Times New Roman"/>
          <w:spacing w:val="-4"/>
          <w:kern w:val="0"/>
          <w:sz w:val="44"/>
          <w:szCs w:val="44"/>
          <w:lang w:val="en-US" w:eastAsia="zh-CN" w:bidi="ar-SA"/>
        </w:rPr>
        <w:t>6</w:t>
      </w:r>
      <w:r>
        <w:rPr>
          <w:rFonts w:hint="eastAsia" w:ascii="Times New Roman" w:hAnsi="Times New Roman" w:eastAsia="方正小标宋简体" w:cs="Times New Roman"/>
          <w:spacing w:val="-4"/>
          <w:kern w:val="0"/>
          <w:sz w:val="44"/>
          <w:szCs w:val="44"/>
          <w:lang w:val="en-US" w:eastAsia="zh-CN" w:bidi="ar-SA"/>
        </w:rPr>
        <w:t>年</w:t>
      </w:r>
      <w:r>
        <w:rPr>
          <w:rFonts w:hint="eastAsia" w:eastAsia="方正小标宋简体" w:cs="Times New Roman"/>
          <w:spacing w:val="-4"/>
          <w:kern w:val="0"/>
          <w:sz w:val="44"/>
          <w:szCs w:val="44"/>
          <w:lang w:val="en-US" w:eastAsia="zh-CN" w:bidi="ar-SA"/>
        </w:rPr>
        <w:t>高阳县</w:t>
      </w:r>
      <w:r>
        <w:rPr>
          <w:rFonts w:hint="eastAsia" w:ascii="Times New Roman" w:hAnsi="Times New Roman" w:eastAsia="方正小标宋简体" w:cs="Times New Roman"/>
          <w:spacing w:val="-4"/>
          <w:kern w:val="0"/>
          <w:sz w:val="44"/>
          <w:szCs w:val="44"/>
          <w:lang w:val="en-US" w:eastAsia="zh-CN" w:bidi="ar-SA"/>
        </w:rPr>
        <w:t>“双随机、一公开”</w:t>
      </w:r>
    </w:p>
    <w:p w14:paraId="428F21B8">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jc w:val="center"/>
        <w:textAlignment w:val="auto"/>
        <w:outlineLvl w:val="9"/>
        <w:rPr>
          <w:rFonts w:hint="eastAsia" w:ascii="Times New Roman" w:hAnsi="Times New Roman" w:eastAsia="方正小标宋简体" w:cs="Times New Roman"/>
          <w:spacing w:val="-4"/>
          <w:kern w:val="0"/>
          <w:sz w:val="44"/>
          <w:szCs w:val="44"/>
          <w:lang w:val="en-US" w:eastAsia="zh-CN" w:bidi="ar-SA"/>
        </w:rPr>
      </w:pPr>
      <w:r>
        <w:rPr>
          <w:rFonts w:hint="eastAsia" w:ascii="Times New Roman" w:hAnsi="Times New Roman" w:eastAsia="方正小标宋简体" w:cs="Times New Roman"/>
          <w:spacing w:val="-4"/>
          <w:kern w:val="0"/>
          <w:sz w:val="44"/>
          <w:szCs w:val="44"/>
          <w:lang w:val="en-US" w:eastAsia="zh-CN" w:bidi="ar-SA"/>
        </w:rPr>
        <w:t>监管工作实施方案</w:t>
      </w:r>
    </w:p>
    <w:p w14:paraId="17600169">
      <w:pPr>
        <w:keepNext w:val="0"/>
        <w:keepLines w:val="0"/>
        <w:pageBreakBefore w:val="0"/>
        <w:widowControl w:val="0"/>
        <w:kinsoku/>
        <w:wordWrap/>
        <w:overflowPunct/>
        <w:topLinePunct w:val="0"/>
        <w:autoSpaceDE/>
        <w:autoSpaceDN/>
        <w:bidi w:val="0"/>
        <w:adjustRightInd/>
        <w:snapToGrid/>
        <w:spacing w:line="560" w:lineRule="exact"/>
        <w:ind w:left="0" w:right="0" w:rightChars="0" w:firstLine="0" w:firstLineChars="0"/>
        <w:jc w:val="center"/>
        <w:textAlignment w:val="auto"/>
        <w:outlineLvl w:val="9"/>
        <w:rPr>
          <w:rFonts w:hint="eastAsia" w:ascii="仿宋_GB2312" w:hAnsi="仿宋_GB2312" w:eastAsia="仿宋_GB2312" w:cs="仿宋_GB2312"/>
          <w:color w:val="000000"/>
          <w:kern w:val="60"/>
          <w:sz w:val="32"/>
          <w:szCs w:val="32"/>
        </w:rPr>
      </w:pPr>
    </w:p>
    <w:p w14:paraId="7A86016D">
      <w:pPr>
        <w:keepNext w:val="0"/>
        <w:keepLines w:val="0"/>
        <w:pageBreakBefore w:val="0"/>
        <w:widowControl w:val="0"/>
        <w:kinsoku/>
        <w:wordWrap/>
        <w:overflowPunct/>
        <w:topLinePunct w:val="0"/>
        <w:autoSpaceDE/>
        <w:autoSpaceDN/>
        <w:bidi w:val="0"/>
        <w:adjustRightInd/>
        <w:snapToGrid/>
        <w:spacing w:line="560" w:lineRule="exact"/>
        <w:ind w:left="0" w:right="0" w:rightChars="0" w:firstLine="652"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spacing w:val="3"/>
          <w:kern w:val="0"/>
          <w:sz w:val="32"/>
          <w:szCs w:val="32"/>
          <w:lang w:val="en-US" w:eastAsia="zh-CN" w:bidi="ar-SA"/>
        </w:rPr>
        <w:t>为深入贯彻落实国家、省、市关于优化营商环境部署要求，持续深化“双随机、一公开”监管，提升监管效能，根据《国务院关于在市场监管领域全面推行部门联合“双随机、一公开”监管的意见》（国发〔2019〕5号）、《国务院办公厅关于严格规范涉企行政检查的意见》（国办发〔2024〕54号）、《市场监管总局关于全面深化“双随机、一公开”监管规范涉企行政检查服务高质量发展的意见》（国市监信规〔2024〕5号）《保定市市场监督管理局关于印发2026年保定市“双随机、一公开”监管工作实施方案的通知》（保市监函〔2026〕24号）等文件要求，制定本方案。</w:t>
      </w:r>
    </w:p>
    <w:p w14:paraId="1B4129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黑体" w:hAnsi="黑体" w:eastAsia="黑体" w:cs="黑体"/>
          <w:color w:val="FF0000"/>
          <w:kern w:val="60"/>
          <w:sz w:val="32"/>
          <w:szCs w:val="32"/>
        </w:rPr>
      </w:pPr>
      <w:r>
        <w:rPr>
          <w:rFonts w:hint="eastAsia" w:ascii="黑体" w:hAnsi="黑体" w:eastAsia="黑体" w:cs="黑体"/>
          <w:color w:val="000000"/>
          <w:kern w:val="60"/>
          <w:sz w:val="32"/>
          <w:szCs w:val="32"/>
          <w:lang w:eastAsia="zh-CN"/>
        </w:rPr>
        <w:t>一、</w:t>
      </w:r>
      <w:r>
        <w:rPr>
          <w:rFonts w:hint="eastAsia" w:ascii="黑体" w:hAnsi="黑体" w:eastAsia="黑体" w:cs="黑体"/>
          <w:color w:val="000000"/>
          <w:kern w:val="60"/>
          <w:sz w:val="32"/>
          <w:szCs w:val="32"/>
        </w:rPr>
        <w:t>工作思路</w:t>
      </w:r>
    </w:p>
    <w:p w14:paraId="6E52B6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color w:val="000000" w:themeColor="text1"/>
          <w:kern w:val="60"/>
          <w:sz w:val="32"/>
          <w:szCs w:val="32"/>
          <w:lang w:eastAsia="zh-CN"/>
          <w14:textFill>
            <w14:solidFill>
              <w14:schemeClr w14:val="tx1"/>
            </w14:solidFill>
          </w14:textFill>
        </w:rPr>
      </w:pPr>
      <w:r>
        <w:rPr>
          <w:rFonts w:hint="eastAsia" w:ascii="仿宋_GB2312" w:hAnsi="仿宋_GB2312" w:eastAsia="仿宋_GB2312" w:cs="仿宋_GB2312"/>
          <w:color w:val="auto"/>
          <w:kern w:val="60"/>
          <w:sz w:val="32"/>
          <w:szCs w:val="32"/>
          <w:lang w:eastAsia="zh-CN"/>
        </w:rPr>
        <w:t>（一）</w:t>
      </w:r>
      <w:r>
        <w:rPr>
          <w:rFonts w:hint="eastAsia" w:ascii="仿宋_GB2312" w:hAnsi="仿宋_GB2312" w:eastAsia="仿宋_GB2312" w:cs="仿宋_GB2312"/>
          <w:spacing w:val="3"/>
          <w:kern w:val="0"/>
          <w:sz w:val="32"/>
          <w:szCs w:val="32"/>
          <w:lang w:val="en-US" w:eastAsia="zh-CN" w:bidi="ar-SA"/>
        </w:rPr>
        <w:t>持续深化部门联合抽查，进一步拓展“一业一查”部门联合模式，着重做好“一业一查”精细化管理，不断扩大部门联合随机抽查的覆盖面、占比率，切实减少涉企检查频次。在随机抽查后处理上求实效，及时组织对检查发现问题的后处理工作，依法依规调查处理，督促整改到位，提高问题发现率，形成监管闭环。</w:t>
      </w:r>
    </w:p>
    <w:p w14:paraId="5D3A75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color w:val="auto"/>
          <w:kern w:val="60"/>
          <w:sz w:val="32"/>
          <w:szCs w:val="32"/>
          <w:lang w:eastAsia="zh-CN"/>
        </w:rPr>
      </w:pPr>
      <w:r>
        <w:rPr>
          <w:rFonts w:hint="eastAsia" w:ascii="仿宋_GB2312" w:hAnsi="仿宋_GB2312" w:eastAsia="仿宋_GB2312" w:cs="仿宋_GB2312"/>
          <w:color w:val="auto"/>
          <w:kern w:val="60"/>
          <w:sz w:val="32"/>
          <w:szCs w:val="32"/>
          <w:lang w:eastAsia="zh-CN"/>
        </w:rPr>
        <w:t>（</w:t>
      </w:r>
      <w:r>
        <w:rPr>
          <w:rFonts w:hint="eastAsia" w:ascii="仿宋_GB2312" w:hAnsi="仿宋_GB2312" w:eastAsia="仿宋_GB2312" w:cs="仿宋_GB2312"/>
          <w:color w:val="auto"/>
          <w:kern w:val="60"/>
          <w:sz w:val="32"/>
          <w:szCs w:val="32"/>
          <w:lang w:val="en-US" w:eastAsia="zh-CN"/>
        </w:rPr>
        <w:t>二</w:t>
      </w:r>
      <w:r>
        <w:rPr>
          <w:rFonts w:hint="eastAsia" w:ascii="仿宋_GB2312" w:hAnsi="仿宋_GB2312" w:eastAsia="仿宋_GB2312" w:cs="仿宋_GB2312"/>
          <w:color w:val="auto"/>
          <w:kern w:val="60"/>
          <w:sz w:val="32"/>
          <w:szCs w:val="32"/>
          <w:lang w:eastAsia="zh-CN"/>
        </w:rPr>
        <w:t>）</w:t>
      </w:r>
      <w:r>
        <w:rPr>
          <w:rFonts w:hint="eastAsia" w:ascii="仿宋_GB2312" w:hAnsi="仿宋_GB2312" w:eastAsia="仿宋_GB2312" w:cs="仿宋_GB2312"/>
          <w:spacing w:val="3"/>
          <w:kern w:val="0"/>
          <w:sz w:val="32"/>
          <w:szCs w:val="32"/>
          <w:lang w:val="en-US" w:eastAsia="zh-CN" w:bidi="ar-SA"/>
        </w:rPr>
        <w:t>持续推进差异化抽查，巩固企业信用风险分类结果在“双随机、一公开”监管中常态化运用，结合投诉举报、舆情监测、风险预警等情形，进一步拓展、深化运用场景，提升监管执法效能。</w:t>
      </w:r>
    </w:p>
    <w:p w14:paraId="110F4E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spacing w:val="3"/>
          <w:kern w:val="0"/>
          <w:sz w:val="32"/>
          <w:szCs w:val="32"/>
          <w:lang w:val="en-US" w:eastAsia="zh-CN" w:bidi="ar-SA"/>
        </w:rPr>
      </w:pPr>
      <w:r>
        <w:rPr>
          <w:rFonts w:hint="eastAsia" w:ascii="仿宋_GB2312" w:hAnsi="仿宋_GB2312" w:eastAsia="仿宋_GB2312" w:cs="仿宋_GB2312"/>
          <w:color w:val="auto"/>
          <w:kern w:val="60"/>
          <w:sz w:val="32"/>
          <w:szCs w:val="32"/>
          <w:lang w:eastAsia="zh-CN"/>
        </w:rPr>
        <w:t>（</w:t>
      </w:r>
      <w:r>
        <w:rPr>
          <w:rFonts w:hint="eastAsia" w:ascii="仿宋_GB2312" w:hAnsi="仿宋_GB2312" w:eastAsia="仿宋_GB2312" w:cs="仿宋_GB2312"/>
          <w:color w:val="auto"/>
          <w:kern w:val="60"/>
          <w:sz w:val="32"/>
          <w:szCs w:val="32"/>
          <w:lang w:val="en-US" w:eastAsia="zh-CN"/>
        </w:rPr>
        <w:t>三</w:t>
      </w:r>
      <w:r>
        <w:rPr>
          <w:rFonts w:hint="eastAsia" w:ascii="仿宋_GB2312" w:hAnsi="仿宋_GB2312" w:eastAsia="仿宋_GB2312" w:cs="仿宋_GB2312"/>
          <w:color w:val="auto"/>
          <w:kern w:val="60"/>
          <w:sz w:val="32"/>
          <w:szCs w:val="32"/>
          <w:lang w:eastAsia="zh-CN"/>
        </w:rPr>
        <w:t>）</w:t>
      </w:r>
      <w:r>
        <w:rPr>
          <w:rFonts w:hint="eastAsia" w:ascii="仿宋_GB2312" w:hAnsi="仿宋_GB2312" w:eastAsia="仿宋_GB2312" w:cs="仿宋_GB2312"/>
          <w:spacing w:val="3"/>
          <w:kern w:val="0"/>
          <w:sz w:val="32"/>
          <w:szCs w:val="32"/>
          <w:lang w:val="en-US" w:eastAsia="zh-CN" w:bidi="ar-SA"/>
        </w:rPr>
        <w:t>进一步严格工作标准和流程，规范检查行为，回应经营主体和社会关切，有效防止多头检查、重复检查，避免随意、任性检查。</w:t>
      </w:r>
    </w:p>
    <w:p w14:paraId="59D5FEEB">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黑体" w:hAnsi="黑体" w:eastAsia="黑体" w:cs="黑体"/>
          <w:color w:val="000000"/>
          <w:kern w:val="60"/>
          <w:sz w:val="32"/>
          <w:szCs w:val="32"/>
        </w:rPr>
      </w:pPr>
      <w:r>
        <w:rPr>
          <w:rFonts w:hint="eastAsia" w:ascii="黑体" w:hAnsi="黑体" w:eastAsia="黑体" w:cs="黑体"/>
          <w:color w:val="000000"/>
          <w:kern w:val="60"/>
          <w:sz w:val="32"/>
          <w:szCs w:val="32"/>
        </w:rPr>
        <w:t>二、主要工作任务</w:t>
      </w:r>
    </w:p>
    <w:p w14:paraId="2D2FB448">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both"/>
        <w:textAlignment w:val="auto"/>
        <w:outlineLvl w:val="9"/>
        <w:rPr>
          <w:rFonts w:hint="eastAsia" w:ascii="仿宋_GB2312" w:hAnsi="仿宋_GB2312" w:eastAsia="仿宋_GB2312" w:cs="仿宋_GB2312"/>
          <w:b w:val="0"/>
          <w:bCs/>
          <w:color w:val="000000"/>
          <w:kern w:val="60"/>
          <w:sz w:val="32"/>
          <w:szCs w:val="32"/>
        </w:rPr>
      </w:pPr>
      <w:r>
        <w:rPr>
          <w:rFonts w:hint="eastAsia" w:ascii="楷体_GB2312" w:hAnsi="楷体_GB2312" w:eastAsia="楷体_GB2312" w:cs="楷体_GB2312"/>
          <w:b/>
          <w:color w:val="000000"/>
          <w:kern w:val="60"/>
          <w:sz w:val="32"/>
          <w:szCs w:val="32"/>
        </w:rPr>
        <w:t>（一）夯实工作基础。</w:t>
      </w:r>
      <w:r>
        <w:rPr>
          <w:rFonts w:hint="eastAsia" w:ascii="仿宋_GB2312" w:hAnsi="仿宋_GB2312" w:eastAsia="仿宋_GB2312" w:cs="仿宋_GB2312"/>
          <w:spacing w:val="3"/>
          <w:kern w:val="0"/>
          <w:sz w:val="32"/>
          <w:szCs w:val="32"/>
          <w:lang w:val="en-US" w:eastAsia="zh-CN" w:bidi="ar-SA"/>
        </w:rPr>
        <w:t>依托河北省双随机执法监管平台，持续完善“一单两库一指引”。在省级部门调整完毕后，有关部门要依据本级涉及的监管领域、“三定”方案中的监管职责及监管事权，对清单中的事项进行认领，形成本级的随机抽查事项清单。要严格落实对行政检查实施主体“四个严禁”要求，动态调整检查对象名录库和执法检查人员名录库，确保“应纳尽纳”。依托标注功能和信用标注结果，实现对检查对象的精准抽取、执法人员的精准匹配。</w:t>
      </w:r>
      <w:r>
        <w:rPr>
          <w:rFonts w:hint="eastAsia" w:ascii="楷体_GB2312" w:hAnsi="楷体_GB2312" w:eastAsia="楷体_GB2312" w:cs="楷体_GB2312"/>
          <w:color w:val="000000"/>
          <w:kern w:val="60"/>
          <w:sz w:val="32"/>
          <w:szCs w:val="32"/>
          <w:lang w:val="en-US" w:eastAsia="zh-CN" w:bidi="ar-SA"/>
        </w:rPr>
        <w:t>（责任单位：</w:t>
      </w:r>
      <w:r>
        <w:rPr>
          <w:rFonts w:hint="eastAsia" w:ascii="仿宋_GB2312" w:hAnsi="仿宋_GB2312" w:eastAsia="仿宋_GB2312" w:cs="仿宋_GB2312"/>
          <w:spacing w:val="3"/>
          <w:kern w:val="0"/>
          <w:sz w:val="32"/>
          <w:szCs w:val="32"/>
          <w:lang w:val="en-US" w:eastAsia="zh-CN" w:bidi="ar-SA"/>
        </w:rPr>
        <w:t>县</w:t>
      </w:r>
      <w:r>
        <w:rPr>
          <w:rFonts w:hint="eastAsia" w:ascii="楷体_GB2312" w:hAnsi="楷体_GB2312" w:eastAsia="楷体_GB2312" w:cs="楷体_GB2312"/>
          <w:color w:val="000000"/>
          <w:kern w:val="60"/>
          <w:sz w:val="32"/>
          <w:szCs w:val="32"/>
          <w:lang w:val="en-US" w:eastAsia="zh-CN" w:bidi="ar-SA"/>
        </w:rPr>
        <w:t>有关部门，完成时限：3月底前）</w:t>
      </w:r>
    </w:p>
    <w:p w14:paraId="1BE21C5C">
      <w:pPr>
        <w:pStyle w:val="3"/>
        <w:keepNext w:val="0"/>
        <w:keepLines w:val="0"/>
        <w:pageBreakBefore w:val="0"/>
        <w:widowControl w:val="0"/>
        <w:kinsoku/>
        <w:wordWrap/>
        <w:overflowPunct/>
        <w:topLinePunct w:val="0"/>
        <w:autoSpaceDE w:val="0"/>
        <w:autoSpaceDN w:val="0"/>
        <w:bidi w:val="0"/>
        <w:adjustRightInd w:val="0"/>
        <w:snapToGrid/>
        <w:spacing w:line="560" w:lineRule="exact"/>
        <w:ind w:left="0" w:right="0" w:rightChars="0" w:firstLine="643" w:firstLineChars="200"/>
        <w:jc w:val="both"/>
        <w:textAlignment w:val="auto"/>
        <w:rPr>
          <w:rFonts w:hint="eastAsia" w:ascii="楷体_GB2312" w:hAnsi="楷体_GB2312" w:eastAsia="楷体_GB2312" w:cs="楷体_GB2312"/>
          <w:color w:val="000000"/>
          <w:kern w:val="60"/>
          <w:sz w:val="32"/>
          <w:szCs w:val="32"/>
          <w:lang w:val="en-US" w:eastAsia="zh-CN" w:bidi="ar-SA"/>
        </w:rPr>
      </w:pPr>
      <w:r>
        <w:rPr>
          <w:rFonts w:hint="eastAsia" w:ascii="楷体_GB2312" w:hAnsi="楷体_GB2312" w:eastAsia="楷体_GB2312" w:cs="楷体_GB2312"/>
          <w:b/>
          <w:color w:val="000000"/>
          <w:kern w:val="60"/>
          <w:sz w:val="32"/>
          <w:szCs w:val="32"/>
          <w:lang w:val="en-US" w:eastAsia="zh-CN" w:bidi="ar-SA"/>
        </w:rPr>
        <w:t>（二）深化联合监管。</w:t>
      </w:r>
      <w:r>
        <w:rPr>
          <w:rFonts w:hint="eastAsia" w:ascii="仿宋_GB2312" w:hAnsi="仿宋_GB2312" w:eastAsia="仿宋_GB2312" w:cs="仿宋_GB2312"/>
          <w:spacing w:val="3"/>
          <w:kern w:val="0"/>
          <w:sz w:val="32"/>
          <w:szCs w:val="32"/>
          <w:lang w:val="en-US" w:eastAsia="zh-CN" w:bidi="ar-SA"/>
        </w:rPr>
        <w:t>强化部门内部与部门之间的协调联动，建立完善长效联合抽查工作机制，确保实现“能合并实施的不得重复检查、能联合实施的不得多头检查”。全面深化“一业一查”部门联合抽查模式。有关部门要以全省“一业一查”部门联合随机抽查事项清单为指导，充分结合本地监管实际组织开展本地“一业一查”部门联合随机抽查，并在实践中不断拓展范围、领域，在兼顾成本与效能的前提下，扩大部门联合随机抽查的覆盖面、占比率，确保本地区今年联合抽查次数占随机抽查总次数的比例不低于70%，部门联合抽查户数占随机抽查总户数的比例不低于50%，推动部门联合抽查常态化，切实压减涉企检查频次。</w:t>
      </w:r>
      <w:r>
        <w:rPr>
          <w:rFonts w:hint="eastAsia" w:ascii="楷体_GB2312" w:hAnsi="楷体_GB2312" w:eastAsia="楷体_GB2312" w:cs="楷体_GB2312"/>
          <w:color w:val="000000"/>
          <w:kern w:val="60"/>
          <w:sz w:val="32"/>
          <w:szCs w:val="32"/>
          <w:lang w:val="en-US" w:eastAsia="zh-CN" w:bidi="ar-SA"/>
        </w:rPr>
        <w:t>（责任单位：</w:t>
      </w:r>
      <w:r>
        <w:rPr>
          <w:rFonts w:hint="eastAsia" w:ascii="仿宋_GB2312" w:hAnsi="仿宋_GB2312" w:eastAsia="仿宋_GB2312" w:cs="仿宋_GB2312"/>
          <w:spacing w:val="3"/>
          <w:kern w:val="0"/>
          <w:sz w:val="32"/>
          <w:szCs w:val="32"/>
          <w:lang w:val="en-US" w:eastAsia="zh-CN" w:bidi="ar-SA"/>
        </w:rPr>
        <w:t>县</w:t>
      </w:r>
      <w:r>
        <w:rPr>
          <w:rFonts w:hint="eastAsia" w:ascii="楷体_GB2312" w:hAnsi="楷体_GB2312" w:eastAsia="楷体_GB2312" w:cs="楷体_GB2312"/>
          <w:color w:val="000000"/>
          <w:kern w:val="60"/>
          <w:sz w:val="32"/>
          <w:szCs w:val="32"/>
          <w:lang w:val="en-US" w:eastAsia="zh-CN" w:bidi="ar-SA"/>
        </w:rPr>
        <w:t>有关部门，完成时限：持续推进）</w:t>
      </w:r>
    </w:p>
    <w:p w14:paraId="3E55C00C">
      <w:pPr>
        <w:pStyle w:val="3"/>
        <w:keepNext w:val="0"/>
        <w:keepLines w:val="0"/>
        <w:pageBreakBefore w:val="0"/>
        <w:widowControl w:val="0"/>
        <w:kinsoku/>
        <w:wordWrap/>
        <w:overflowPunct/>
        <w:topLinePunct w:val="0"/>
        <w:autoSpaceDE w:val="0"/>
        <w:autoSpaceDN w:val="0"/>
        <w:bidi w:val="0"/>
        <w:adjustRightInd w:val="0"/>
        <w:snapToGrid/>
        <w:spacing w:line="560" w:lineRule="exact"/>
        <w:ind w:left="0" w:right="0" w:rightChars="0" w:firstLine="643" w:firstLineChars="200"/>
        <w:jc w:val="both"/>
        <w:textAlignment w:val="auto"/>
        <w:rPr>
          <w:rFonts w:hint="eastAsia" w:ascii="楷体_GB2312" w:hAnsi="楷体_GB2312" w:eastAsia="楷体_GB2312" w:cs="楷体_GB2312"/>
          <w:color w:val="000000"/>
          <w:kern w:val="60"/>
          <w:sz w:val="32"/>
          <w:szCs w:val="32"/>
          <w:lang w:val="en-US" w:eastAsia="zh-CN" w:bidi="ar-SA"/>
        </w:rPr>
      </w:pPr>
      <w:r>
        <w:rPr>
          <w:rFonts w:hint="eastAsia" w:ascii="楷体_GB2312" w:hAnsi="楷体_GB2312" w:eastAsia="楷体_GB2312" w:cs="楷体_GB2312"/>
          <w:b/>
          <w:color w:val="000000"/>
          <w:kern w:val="60"/>
          <w:sz w:val="32"/>
          <w:szCs w:val="32"/>
          <w:lang w:val="en-US" w:eastAsia="zh-CN" w:bidi="ar-SA"/>
        </w:rPr>
        <w:t>（三）提升监管效能。</w:t>
      </w:r>
      <w:r>
        <w:rPr>
          <w:rFonts w:hint="eastAsia" w:ascii="仿宋_GB2312" w:hAnsi="仿宋_GB2312" w:eastAsia="仿宋_GB2312" w:cs="仿宋_GB2312"/>
          <w:spacing w:val="3"/>
          <w:kern w:val="0"/>
          <w:sz w:val="32"/>
          <w:szCs w:val="32"/>
          <w:lang w:val="en-US" w:eastAsia="zh-CN" w:bidi="ar-SA"/>
        </w:rPr>
        <w:t>要深化“双随机、一公开”监管工作与信用风险分级分类的融合，针对不同的信用风险分类等级合理确定抽查比例和频次，运用信用风险分级分类开展的企业抽查次数占企业抽查总次数的比例达到100%。对信用风险较低的经营主体实施触发式监管</w:t>
      </w:r>
      <w:r>
        <w:rPr>
          <w:rFonts w:hint="default" w:ascii="仿宋_GB2312" w:hAnsi="仿宋_GB2312" w:eastAsia="仿宋_GB2312" w:cs="仿宋_GB2312"/>
          <w:spacing w:val="3"/>
          <w:kern w:val="0"/>
          <w:sz w:val="32"/>
          <w:szCs w:val="32"/>
          <w:lang w:val="en-US" w:eastAsia="zh-CN" w:bidi="ar-SA"/>
        </w:rPr>
        <w:t>，实现“无事不扰、有因必查”。</w:t>
      </w:r>
      <w:r>
        <w:rPr>
          <w:rFonts w:hint="eastAsia" w:ascii="仿宋_GB2312" w:hAnsi="仿宋_GB2312" w:eastAsia="仿宋_GB2312" w:cs="仿宋_GB2312"/>
          <w:spacing w:val="3"/>
          <w:kern w:val="0"/>
          <w:sz w:val="32"/>
          <w:szCs w:val="32"/>
          <w:lang w:val="en-US" w:eastAsia="zh-CN" w:bidi="ar-SA"/>
        </w:rPr>
        <w:t>严格落实查前准备和查前业务培训等工作制度，切实提高检查的针对性和执法人员的业务能力，提升抽查检查质效。</w:t>
      </w:r>
      <w:r>
        <w:rPr>
          <w:rFonts w:hint="eastAsia" w:ascii="楷体_GB2312" w:hAnsi="楷体_GB2312" w:eastAsia="楷体_GB2312" w:cs="楷体_GB2312"/>
          <w:color w:val="000000"/>
          <w:kern w:val="60"/>
          <w:sz w:val="32"/>
          <w:szCs w:val="32"/>
          <w:lang w:val="en-US" w:eastAsia="zh-CN" w:bidi="ar-SA"/>
        </w:rPr>
        <w:t>（责任单位：</w:t>
      </w:r>
      <w:r>
        <w:rPr>
          <w:rFonts w:hint="eastAsia" w:ascii="仿宋_GB2312" w:hAnsi="仿宋_GB2312" w:eastAsia="仿宋_GB2312" w:cs="仿宋_GB2312"/>
          <w:spacing w:val="3"/>
          <w:kern w:val="0"/>
          <w:sz w:val="32"/>
          <w:szCs w:val="32"/>
          <w:lang w:val="en-US" w:eastAsia="zh-CN" w:bidi="ar-SA"/>
        </w:rPr>
        <w:t>县</w:t>
      </w:r>
      <w:r>
        <w:rPr>
          <w:rFonts w:hint="eastAsia" w:ascii="楷体_GB2312" w:hAnsi="楷体_GB2312" w:eastAsia="楷体_GB2312" w:cs="楷体_GB2312"/>
          <w:color w:val="000000"/>
          <w:kern w:val="60"/>
          <w:sz w:val="32"/>
          <w:szCs w:val="32"/>
          <w:lang w:val="en-US" w:eastAsia="zh-CN" w:bidi="ar-SA"/>
        </w:rPr>
        <w:t>有关部门，完成时限：持续推进）</w:t>
      </w:r>
    </w:p>
    <w:p w14:paraId="1BB3907A">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both"/>
        <w:textAlignment w:val="auto"/>
        <w:outlineLvl w:val="9"/>
        <w:rPr>
          <w:rFonts w:hint="eastAsia" w:ascii="楷体_GB2312" w:hAnsi="楷体_GB2312" w:eastAsia="楷体_GB2312" w:cs="楷体_GB2312"/>
          <w:color w:val="000000"/>
          <w:kern w:val="60"/>
          <w:sz w:val="32"/>
          <w:szCs w:val="32"/>
          <w:lang w:val="en-US" w:eastAsia="zh-CN" w:bidi="ar-SA"/>
        </w:rPr>
      </w:pPr>
      <w:r>
        <w:rPr>
          <w:rFonts w:hint="eastAsia" w:ascii="楷体_GB2312" w:hAnsi="楷体_GB2312" w:eastAsia="楷体_GB2312" w:cs="楷体_GB2312"/>
          <w:b/>
          <w:color w:val="000000"/>
          <w:kern w:val="60"/>
          <w:sz w:val="32"/>
          <w:szCs w:val="32"/>
        </w:rPr>
        <w:t>（</w:t>
      </w:r>
      <w:r>
        <w:rPr>
          <w:rFonts w:hint="eastAsia" w:ascii="楷体_GB2312" w:hAnsi="楷体_GB2312" w:eastAsia="楷体_GB2312" w:cs="楷体_GB2312"/>
          <w:b/>
          <w:color w:val="000000"/>
          <w:kern w:val="60"/>
          <w:sz w:val="32"/>
          <w:szCs w:val="32"/>
          <w:lang w:val="en-US" w:eastAsia="zh-CN"/>
        </w:rPr>
        <w:t>四</w:t>
      </w:r>
      <w:r>
        <w:rPr>
          <w:rFonts w:hint="eastAsia" w:ascii="楷体_GB2312" w:hAnsi="楷体_GB2312" w:eastAsia="楷体_GB2312" w:cs="楷体_GB2312"/>
          <w:b/>
          <w:color w:val="000000"/>
          <w:kern w:val="60"/>
          <w:sz w:val="32"/>
          <w:szCs w:val="32"/>
        </w:rPr>
        <w:t>）规范实施检查</w:t>
      </w:r>
      <w:r>
        <w:rPr>
          <w:rFonts w:hint="eastAsia" w:ascii="楷体_GB2312" w:hAnsi="楷体_GB2312" w:eastAsia="楷体_GB2312" w:cs="楷体_GB2312"/>
          <w:b/>
          <w:color w:val="000000"/>
          <w:kern w:val="60"/>
          <w:sz w:val="32"/>
          <w:szCs w:val="32"/>
          <w:lang w:val="en-US" w:eastAsia="zh-CN"/>
        </w:rPr>
        <w:t>,</w:t>
      </w:r>
      <w:bookmarkStart w:id="0" w:name="_GoBack"/>
      <w:bookmarkEnd w:id="0"/>
      <w:r>
        <w:rPr>
          <w:rFonts w:hint="eastAsia" w:ascii="仿宋_GB2312" w:hAnsi="仿宋_GB2312" w:eastAsia="仿宋_GB2312" w:cs="仿宋_GB2312"/>
          <w:b/>
          <w:bCs w:val="0"/>
          <w:color w:val="000000"/>
          <w:kern w:val="60"/>
          <w:sz w:val="32"/>
          <w:szCs w:val="32"/>
        </w:rPr>
        <w:t>严格计划实施。</w:t>
      </w:r>
      <w:r>
        <w:rPr>
          <w:rFonts w:hint="eastAsia" w:ascii="仿宋_GB2312" w:hAnsi="仿宋_GB2312" w:eastAsia="仿宋_GB2312" w:cs="仿宋_GB2312"/>
          <w:spacing w:val="3"/>
          <w:kern w:val="0"/>
          <w:sz w:val="32"/>
          <w:szCs w:val="32"/>
          <w:lang w:val="en-US" w:eastAsia="zh-CN" w:bidi="ar-SA"/>
        </w:rPr>
        <w:t>要结合工作实际，科学合理制定年度抽查工作计划，及时向社会公开，并严格按照年度抽查工作计划实施。对未列入年度抽查计划但实际工作中需要开展的抽查，或已列入但需要调整的抽查，严格履行相关工作程序，及时调整并公示后方可开展。</w:t>
      </w:r>
      <w:r>
        <w:rPr>
          <w:rFonts w:hint="eastAsia" w:ascii="仿宋_GB2312" w:hAnsi="仿宋_GB2312" w:eastAsia="仿宋_GB2312" w:cs="仿宋_GB2312"/>
          <w:b/>
          <w:bCs w:val="0"/>
          <w:color w:val="auto"/>
          <w:kern w:val="60"/>
          <w:sz w:val="32"/>
          <w:szCs w:val="32"/>
          <w:lang w:val="en-US" w:eastAsia="zh-CN"/>
        </w:rPr>
        <w:t>规范行政检查流程。</w:t>
      </w:r>
      <w:r>
        <w:rPr>
          <w:rFonts w:hint="eastAsia" w:ascii="仿宋_GB2312" w:hAnsi="仿宋_GB2312" w:eastAsia="仿宋_GB2312" w:cs="仿宋_GB2312"/>
          <w:spacing w:val="3"/>
          <w:kern w:val="0"/>
          <w:sz w:val="32"/>
          <w:szCs w:val="32"/>
          <w:lang w:val="en-US" w:eastAsia="zh-CN" w:bidi="ar-SA"/>
        </w:rPr>
        <w:t>行政检查文书填写要合法规范、客观全面、准确完整。依据“河北双随机执法监管平台”的“扫码入企”功能，在开展“双随机、一公开”时亮码检查，进一步规范各部门执法人员入企检查行为。</w:t>
      </w:r>
      <w:r>
        <w:rPr>
          <w:rFonts w:hint="eastAsia" w:ascii="仿宋_GB2312" w:hAnsi="仿宋_GB2312" w:eastAsia="仿宋_GB2312" w:cs="仿宋_GB2312"/>
          <w:b/>
          <w:bCs w:val="0"/>
          <w:color w:val="000000"/>
          <w:kern w:val="60"/>
          <w:sz w:val="32"/>
          <w:szCs w:val="32"/>
        </w:rPr>
        <w:t>严格闭环监管。</w:t>
      </w:r>
      <w:r>
        <w:rPr>
          <w:rFonts w:hint="eastAsia" w:ascii="仿宋_GB2312" w:hAnsi="仿宋_GB2312" w:eastAsia="仿宋_GB2312" w:cs="仿宋_GB2312"/>
          <w:spacing w:val="3"/>
          <w:kern w:val="0"/>
          <w:sz w:val="32"/>
          <w:szCs w:val="32"/>
          <w:lang w:val="en-US" w:eastAsia="zh-CN" w:bidi="ar-SA"/>
        </w:rPr>
        <w:t>要健全后续处置机制，规范问题线索的转办、移送等工作，按照“谁监管、谁负责”的原则实施后续监管，实现监管闭环。加强与信用监管的衔接，加大对抽查发现的违法失信行为的信用惩戒力度，实施联合惩戒，增强随机抽查的震慑力。</w:t>
      </w:r>
      <w:r>
        <w:rPr>
          <w:rFonts w:hint="eastAsia" w:ascii="仿宋_GB2312" w:hAnsi="仿宋_GB2312" w:eastAsia="仿宋_GB2312" w:cs="仿宋_GB2312"/>
          <w:b/>
          <w:bCs w:val="0"/>
          <w:color w:val="000000"/>
          <w:kern w:val="60"/>
          <w:sz w:val="32"/>
          <w:szCs w:val="32"/>
          <w:lang w:val="en-US" w:eastAsia="zh-CN"/>
        </w:rPr>
        <w:t>规范档案管理。</w:t>
      </w:r>
      <w:r>
        <w:rPr>
          <w:rFonts w:hint="eastAsia" w:ascii="仿宋_GB2312" w:hAnsi="仿宋_GB2312" w:eastAsia="仿宋_GB2312" w:cs="仿宋_GB2312"/>
          <w:spacing w:val="3"/>
          <w:kern w:val="0"/>
          <w:sz w:val="32"/>
          <w:szCs w:val="32"/>
          <w:lang w:val="en-US" w:eastAsia="zh-CN" w:bidi="ar-SA"/>
        </w:rPr>
        <w:t>从检查事项审批、现场核查记录到检查结果公示，严格对照标准执行，确保文书填写要素齐全、内容准确、逻辑严谨。规范整理检查流程中的各类材料，让每一次双随机检查都痕迹可溯、责任可追。</w:t>
      </w:r>
      <w:r>
        <w:rPr>
          <w:rFonts w:hint="eastAsia" w:ascii="楷体_GB2312" w:hAnsi="楷体_GB2312" w:eastAsia="楷体_GB2312" w:cs="楷体_GB2312"/>
          <w:color w:val="000000"/>
          <w:kern w:val="60"/>
          <w:sz w:val="32"/>
          <w:szCs w:val="32"/>
          <w:lang w:val="en-US" w:eastAsia="zh-CN" w:bidi="ar-SA"/>
        </w:rPr>
        <w:t>（责任单位</w:t>
      </w:r>
      <w:r>
        <w:rPr>
          <w:rFonts w:hint="eastAsia" w:ascii="仿宋_GB2312" w:hAnsi="仿宋_GB2312" w:eastAsia="仿宋_GB2312" w:cs="仿宋_GB2312"/>
          <w:spacing w:val="3"/>
          <w:kern w:val="0"/>
          <w:sz w:val="32"/>
          <w:szCs w:val="32"/>
          <w:lang w:val="en-US" w:eastAsia="zh-CN" w:bidi="ar-SA"/>
        </w:rPr>
        <w:t>：县</w:t>
      </w:r>
      <w:r>
        <w:rPr>
          <w:rFonts w:hint="eastAsia" w:ascii="楷体_GB2312" w:hAnsi="楷体_GB2312" w:eastAsia="楷体_GB2312" w:cs="楷体_GB2312"/>
          <w:color w:val="000000"/>
          <w:kern w:val="60"/>
          <w:sz w:val="32"/>
          <w:szCs w:val="32"/>
          <w:lang w:val="en-US" w:eastAsia="zh-CN" w:bidi="ar-SA"/>
        </w:rPr>
        <w:t>有关部门，完成时限：持续推进）</w:t>
      </w:r>
    </w:p>
    <w:p w14:paraId="1C5B0BAA">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both"/>
        <w:textAlignment w:val="auto"/>
        <w:outlineLvl w:val="9"/>
        <w:rPr>
          <w:rFonts w:hint="eastAsia" w:ascii="仿宋_GB2312" w:hAnsi="仿宋_GB2312" w:eastAsia="仿宋_GB2312" w:cs="仿宋_GB2312"/>
          <w:b w:val="0"/>
          <w:bCs/>
          <w:color w:val="000000"/>
          <w:kern w:val="60"/>
          <w:sz w:val="32"/>
          <w:szCs w:val="32"/>
          <w:lang w:val="en-US" w:eastAsia="zh-CN" w:bidi="ar-SA"/>
        </w:rPr>
      </w:pPr>
      <w:r>
        <w:rPr>
          <w:rFonts w:hint="eastAsia" w:ascii="楷体_GB2312" w:hAnsi="楷体_GB2312" w:eastAsia="楷体_GB2312" w:cs="楷体_GB2312"/>
          <w:b/>
          <w:color w:val="000000"/>
          <w:kern w:val="60"/>
          <w:sz w:val="32"/>
          <w:szCs w:val="32"/>
        </w:rPr>
        <w:t>（五）</w:t>
      </w:r>
      <w:r>
        <w:rPr>
          <w:rFonts w:hint="eastAsia" w:ascii="楷体_GB2312" w:hAnsi="楷体_GB2312" w:eastAsia="楷体_GB2312" w:cs="楷体_GB2312"/>
          <w:b/>
          <w:color w:val="000000"/>
          <w:kern w:val="60"/>
          <w:sz w:val="32"/>
          <w:szCs w:val="32"/>
          <w:lang w:val="en-US" w:eastAsia="zh-CN"/>
        </w:rPr>
        <w:t>提高</w:t>
      </w:r>
      <w:r>
        <w:rPr>
          <w:rFonts w:hint="eastAsia" w:ascii="楷体_GB2312" w:hAnsi="楷体_GB2312" w:eastAsia="楷体_GB2312" w:cs="楷体_GB2312"/>
          <w:b/>
          <w:color w:val="000000"/>
          <w:kern w:val="60"/>
          <w:sz w:val="32"/>
          <w:szCs w:val="32"/>
        </w:rPr>
        <w:t>服务意识。</w:t>
      </w:r>
      <w:r>
        <w:rPr>
          <w:rFonts w:hint="eastAsia" w:ascii="仿宋_GB2312" w:hAnsi="仿宋_GB2312" w:eastAsia="仿宋_GB2312" w:cs="仿宋_GB2312"/>
          <w:spacing w:val="3"/>
          <w:kern w:val="0"/>
          <w:sz w:val="32"/>
          <w:szCs w:val="32"/>
          <w:lang w:val="en-US" w:eastAsia="zh-CN" w:bidi="ar-SA"/>
        </w:rPr>
        <w:t>推行服务型执法，在抽查检查过程中要开展相关法律法规政策宣教、合规经营指导，并及时回应经营主体有关问题及诉求。</w:t>
      </w:r>
      <w:r>
        <w:rPr>
          <w:rFonts w:hint="eastAsia" w:ascii="楷体_GB2312" w:hAnsi="楷体_GB2312" w:eastAsia="楷体_GB2312" w:cs="楷体_GB2312"/>
          <w:color w:val="000000"/>
          <w:kern w:val="60"/>
          <w:sz w:val="32"/>
          <w:szCs w:val="32"/>
        </w:rPr>
        <w:t>（责任单位：</w:t>
      </w:r>
      <w:r>
        <w:rPr>
          <w:rFonts w:hint="eastAsia" w:ascii="仿宋_GB2312" w:hAnsi="仿宋_GB2312" w:eastAsia="仿宋_GB2312" w:cs="仿宋_GB2312"/>
          <w:spacing w:val="3"/>
          <w:kern w:val="0"/>
          <w:sz w:val="32"/>
          <w:szCs w:val="32"/>
          <w:lang w:val="en-US" w:eastAsia="zh-CN" w:bidi="ar-SA"/>
        </w:rPr>
        <w:t>县</w:t>
      </w:r>
      <w:r>
        <w:rPr>
          <w:rFonts w:hint="eastAsia" w:ascii="楷体_GB2312" w:hAnsi="楷体_GB2312" w:eastAsia="楷体_GB2312" w:cs="楷体_GB2312"/>
          <w:color w:val="000000"/>
          <w:kern w:val="60"/>
          <w:sz w:val="32"/>
          <w:szCs w:val="32"/>
        </w:rPr>
        <w:t>有关部门，完成时限：</w:t>
      </w:r>
      <w:r>
        <w:rPr>
          <w:rFonts w:hint="eastAsia" w:ascii="楷体_GB2312" w:hAnsi="楷体_GB2312" w:eastAsia="楷体_GB2312" w:cs="楷体_GB2312"/>
          <w:color w:val="000000"/>
          <w:kern w:val="60"/>
          <w:sz w:val="32"/>
          <w:szCs w:val="32"/>
          <w:lang w:val="en-US" w:eastAsia="zh-CN"/>
        </w:rPr>
        <w:t>持续推进</w:t>
      </w:r>
      <w:r>
        <w:rPr>
          <w:rFonts w:hint="eastAsia" w:ascii="楷体_GB2312" w:hAnsi="楷体_GB2312" w:eastAsia="楷体_GB2312" w:cs="楷体_GB2312"/>
          <w:color w:val="000000"/>
          <w:kern w:val="60"/>
          <w:sz w:val="32"/>
          <w:szCs w:val="32"/>
        </w:rPr>
        <w:t>）</w:t>
      </w:r>
    </w:p>
    <w:p w14:paraId="093E9202">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黑体" w:hAnsi="黑体" w:eastAsia="黑体" w:cs="黑体"/>
          <w:color w:val="000000"/>
          <w:kern w:val="60"/>
          <w:sz w:val="32"/>
          <w:szCs w:val="32"/>
        </w:rPr>
      </w:pPr>
      <w:r>
        <w:rPr>
          <w:rFonts w:hint="eastAsia" w:ascii="黑体" w:hAnsi="黑体" w:eastAsia="黑体" w:cs="黑体"/>
          <w:color w:val="000000"/>
          <w:kern w:val="60"/>
          <w:sz w:val="32"/>
          <w:szCs w:val="32"/>
        </w:rPr>
        <w:t>三、工作要求</w:t>
      </w:r>
    </w:p>
    <w:p w14:paraId="6730AA99">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both"/>
        <w:textAlignment w:val="auto"/>
        <w:outlineLvl w:val="9"/>
        <w:rPr>
          <w:rFonts w:hint="eastAsia" w:ascii="仿宋_GB2312" w:hAnsi="仿宋_GB2312" w:eastAsia="仿宋_GB2312" w:cs="仿宋_GB2312"/>
          <w:spacing w:val="3"/>
          <w:kern w:val="0"/>
          <w:sz w:val="32"/>
          <w:szCs w:val="32"/>
          <w:lang w:val="en-US" w:eastAsia="zh-CN" w:bidi="ar-SA"/>
        </w:rPr>
      </w:pPr>
      <w:r>
        <w:rPr>
          <w:rFonts w:hint="eastAsia" w:ascii="楷体_GB2312" w:hAnsi="楷体_GB2312" w:eastAsia="楷体_GB2312" w:cs="楷体_GB2312"/>
          <w:b/>
          <w:color w:val="000000"/>
          <w:kern w:val="60"/>
          <w:sz w:val="32"/>
          <w:szCs w:val="32"/>
          <w:lang w:val="en-US" w:eastAsia="zh-CN" w:bidi="ar-SA"/>
        </w:rPr>
        <w:t>（一）提高思想认识，加强组织领导。</w:t>
      </w:r>
      <w:r>
        <w:rPr>
          <w:rFonts w:hint="eastAsia" w:ascii="仿宋_GB2312" w:hAnsi="仿宋_GB2312" w:eastAsia="仿宋_GB2312" w:cs="仿宋_GB2312"/>
          <w:spacing w:val="3"/>
          <w:kern w:val="0"/>
          <w:sz w:val="32"/>
          <w:szCs w:val="32"/>
          <w:lang w:val="en-US" w:eastAsia="zh-CN" w:bidi="ar-SA"/>
        </w:rPr>
        <w:t>各有关部门要充分认识全面深化“双随机、一公开”监管的重要意义，加强事中事后监管，细化工作目标和推进举措，确保工作任务落到实处、取得实效，为优化营商环境、助力经营主体高质量发展发挥积极作用。</w:t>
      </w:r>
    </w:p>
    <w:p w14:paraId="23DB02E5">
      <w:pPr>
        <w:pStyle w:val="3"/>
        <w:keepNext w:val="0"/>
        <w:keepLines w:val="0"/>
        <w:pageBreakBefore w:val="0"/>
        <w:widowControl w:val="0"/>
        <w:kinsoku/>
        <w:wordWrap/>
        <w:overflowPunct/>
        <w:topLinePunct w:val="0"/>
        <w:autoSpaceDE w:val="0"/>
        <w:autoSpaceDN w:val="0"/>
        <w:bidi w:val="0"/>
        <w:adjustRightInd w:val="0"/>
        <w:snapToGrid/>
        <w:spacing w:line="560" w:lineRule="exact"/>
        <w:ind w:left="0" w:right="0" w:rightChars="0" w:firstLine="629"/>
        <w:jc w:val="both"/>
        <w:textAlignment w:val="auto"/>
        <w:rPr>
          <w:rFonts w:hint="eastAsia" w:ascii="仿宋_GB2312" w:hAnsi="仿宋_GB2312" w:eastAsia="仿宋_GB2312" w:cs="仿宋_GB2312"/>
          <w:spacing w:val="3"/>
          <w:kern w:val="0"/>
          <w:sz w:val="32"/>
          <w:szCs w:val="32"/>
          <w:lang w:val="en-US" w:eastAsia="zh-CN" w:bidi="ar-SA"/>
        </w:rPr>
      </w:pPr>
      <w:r>
        <w:rPr>
          <w:rFonts w:hint="eastAsia" w:ascii="楷体_GB2312" w:hAnsi="楷体_GB2312" w:eastAsia="楷体_GB2312" w:cs="楷体_GB2312"/>
          <w:b/>
          <w:color w:val="000000"/>
          <w:kern w:val="60"/>
          <w:sz w:val="32"/>
          <w:szCs w:val="32"/>
          <w:lang w:val="en-US" w:eastAsia="zh-CN" w:bidi="ar-SA"/>
        </w:rPr>
        <w:t>（二）认真履职尽责，积极主动作为。</w:t>
      </w:r>
      <w:r>
        <w:rPr>
          <w:rFonts w:hint="eastAsia" w:ascii="仿宋_GB2312" w:hAnsi="仿宋_GB2312" w:eastAsia="仿宋_GB2312" w:cs="仿宋_GB2312"/>
          <w:spacing w:val="3"/>
          <w:kern w:val="0"/>
          <w:sz w:val="32"/>
          <w:szCs w:val="32"/>
          <w:lang w:val="en-US" w:eastAsia="zh-CN" w:bidi="ar-SA"/>
        </w:rPr>
        <w:t>市场监管部门要牵头抓总，凝聚各方力量，持续在工作机制、组织协调、推进落实上下功夫。各有关部门要切实落实主体责任，打破惯性思维，强化大局意识，认真履职尽责，积极主动开展工作，牢固树立“一盘棋”思想，相互支持、密切配合、协同促进，合力推进各项工作任务落实。</w:t>
      </w:r>
    </w:p>
    <w:p w14:paraId="025BC89A">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both"/>
        <w:textAlignment w:val="auto"/>
        <w:outlineLvl w:val="9"/>
        <w:rPr>
          <w:rFonts w:hint="eastAsia" w:ascii="仿宋_GB2312" w:hAnsi="仿宋_GB2312" w:eastAsia="仿宋_GB2312" w:cs="仿宋_GB2312"/>
          <w:spacing w:val="6"/>
          <w:sz w:val="32"/>
          <w:szCs w:val="32"/>
        </w:rPr>
      </w:pPr>
      <w:r>
        <w:rPr>
          <w:rFonts w:hint="eastAsia" w:ascii="楷体_GB2312" w:hAnsi="楷体_GB2312" w:eastAsia="楷体_GB2312" w:cs="楷体_GB2312"/>
          <w:b/>
          <w:color w:val="000000"/>
          <w:kern w:val="60"/>
          <w:sz w:val="32"/>
          <w:szCs w:val="32"/>
        </w:rPr>
        <w:t>（三）落实主体责任，强化指导监管。</w:t>
      </w:r>
      <w:r>
        <w:rPr>
          <w:rFonts w:hint="eastAsia" w:ascii="仿宋_GB2312" w:hAnsi="仿宋_GB2312" w:eastAsia="仿宋_GB2312" w:cs="仿宋_GB2312"/>
          <w:spacing w:val="3"/>
          <w:sz w:val="32"/>
          <w:szCs w:val="32"/>
        </w:rPr>
        <w:t>各有关部门要强</w:t>
      </w:r>
      <w:r>
        <w:rPr>
          <w:rFonts w:hint="eastAsia" w:ascii="仿宋_GB2312" w:hAnsi="仿宋_GB2312" w:eastAsia="仿宋_GB2312" w:cs="仿宋_GB2312"/>
          <w:spacing w:val="7"/>
          <w:sz w:val="32"/>
          <w:szCs w:val="32"/>
        </w:rPr>
        <w:t>化对随机抽查工作全流程的管控，</w:t>
      </w:r>
      <w:r>
        <w:rPr>
          <w:rFonts w:hint="eastAsia" w:ascii="仿宋_GB2312" w:hAnsi="仿宋_GB2312" w:eastAsia="仿宋_GB2312" w:cs="仿宋_GB2312"/>
          <w:spacing w:val="7"/>
          <w:sz w:val="32"/>
          <w:szCs w:val="32"/>
          <w:lang w:val="en-US" w:eastAsia="zh-CN"/>
        </w:rPr>
        <w:t>切实提升工作效能</w:t>
      </w:r>
      <w:r>
        <w:rPr>
          <w:rFonts w:hint="eastAsia" w:ascii="仿宋_GB2312" w:hAnsi="仿宋_GB2312" w:eastAsia="仿宋_GB2312" w:cs="仿宋_GB2312"/>
          <w:spacing w:val="5"/>
          <w:sz w:val="32"/>
          <w:szCs w:val="32"/>
        </w:rPr>
        <w:t>。同时严格按照《国务院办公厅关于严格规范涉企行</w:t>
      </w:r>
      <w:r>
        <w:rPr>
          <w:rFonts w:hint="eastAsia" w:ascii="仿宋_GB2312" w:hAnsi="仿宋_GB2312" w:eastAsia="仿宋_GB2312" w:cs="仿宋_GB2312"/>
          <w:spacing w:val="2"/>
          <w:sz w:val="32"/>
          <w:szCs w:val="32"/>
        </w:rPr>
        <w:t>政检查的意见》（国办发〔2024〕54号）</w:t>
      </w:r>
      <w:r>
        <w:rPr>
          <w:rFonts w:hint="eastAsia" w:ascii="仿宋_GB2312" w:hAnsi="仿宋_GB2312" w:eastAsia="仿宋_GB2312" w:cs="仿宋_GB2312"/>
          <w:spacing w:val="1"/>
          <w:sz w:val="32"/>
          <w:szCs w:val="32"/>
        </w:rPr>
        <w:t>中“五个严禁”、“八</w:t>
      </w:r>
      <w:r>
        <w:rPr>
          <w:rFonts w:hint="eastAsia" w:ascii="仿宋_GB2312" w:hAnsi="仿宋_GB2312" w:eastAsia="仿宋_GB2312" w:cs="仿宋_GB2312"/>
          <w:spacing w:val="5"/>
          <w:sz w:val="32"/>
          <w:szCs w:val="32"/>
        </w:rPr>
        <w:t>个不得”的要求开展抽查，防止企业反映强烈</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lang w:val="en-US" w:eastAsia="zh-CN"/>
        </w:rPr>
        <w:t>引发社会舆情</w:t>
      </w:r>
      <w:r>
        <w:rPr>
          <w:rFonts w:hint="eastAsia" w:ascii="仿宋_GB2312" w:hAnsi="仿宋_GB2312" w:eastAsia="仿宋_GB2312" w:cs="仿宋_GB2312"/>
          <w:spacing w:val="6"/>
          <w:sz w:val="32"/>
          <w:szCs w:val="32"/>
        </w:rPr>
        <w:t>。</w:t>
      </w:r>
    </w:p>
    <w:p w14:paraId="17F10F23">
      <w:pPr>
        <w:pStyle w:val="3"/>
        <w:keepNext w:val="0"/>
        <w:keepLines w:val="0"/>
        <w:pageBreakBefore w:val="0"/>
        <w:widowControl w:val="0"/>
        <w:kinsoku/>
        <w:wordWrap/>
        <w:overflowPunct/>
        <w:topLinePunct w:val="0"/>
        <w:autoSpaceDE w:val="0"/>
        <w:autoSpaceDN w:val="0"/>
        <w:bidi w:val="0"/>
        <w:adjustRightInd w:val="0"/>
        <w:snapToGrid/>
        <w:spacing w:line="560" w:lineRule="exact"/>
        <w:ind w:left="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kern w:val="60"/>
          <w:sz w:val="32"/>
          <w:szCs w:val="32"/>
        </w:rPr>
        <w:t>要认真执行</w:t>
      </w:r>
      <w:r>
        <w:rPr>
          <w:rFonts w:hint="eastAsia" w:ascii="仿宋_GB2312" w:hAnsi="仿宋_GB2312" w:eastAsia="仿宋_GB2312" w:cs="仿宋_GB2312"/>
          <w:color w:val="000000"/>
          <w:kern w:val="60"/>
          <w:sz w:val="32"/>
          <w:szCs w:val="32"/>
        </w:rPr>
        <w:t>信息联络员制度，</w:t>
      </w:r>
      <w:r>
        <w:rPr>
          <w:rFonts w:hint="eastAsia" w:ascii="仿宋_GB2312" w:hAnsi="仿宋_GB2312" w:eastAsia="仿宋_GB2312" w:cs="仿宋_GB2312"/>
          <w:color w:val="000000"/>
          <w:kern w:val="60"/>
          <w:sz w:val="32"/>
          <w:szCs w:val="32"/>
          <w:lang w:val="en-US" w:eastAsia="zh-CN"/>
        </w:rPr>
        <w:t>汇总本辖区</w:t>
      </w:r>
      <w:r>
        <w:rPr>
          <w:rFonts w:hint="eastAsia" w:ascii="仿宋_GB2312" w:hAnsi="仿宋_GB2312" w:eastAsia="仿宋_GB2312" w:cs="仿宋_GB2312"/>
          <w:color w:val="000000"/>
          <w:kern w:val="60"/>
          <w:sz w:val="32"/>
          <w:szCs w:val="32"/>
        </w:rPr>
        <w:t>“双随机、一公开”监管工作</w:t>
      </w:r>
      <w:r>
        <w:rPr>
          <w:rFonts w:hint="eastAsia" w:ascii="仿宋_GB2312" w:hAnsi="仿宋_GB2312" w:eastAsia="仿宋_GB2312" w:cs="仿宋_GB2312"/>
          <w:color w:val="000000"/>
          <w:kern w:val="60"/>
          <w:sz w:val="32"/>
          <w:szCs w:val="32"/>
          <w:lang w:val="en-US" w:eastAsia="zh-CN"/>
        </w:rPr>
        <w:t>进度</w:t>
      </w:r>
      <w:r>
        <w:rPr>
          <w:rFonts w:hint="eastAsia" w:ascii="仿宋_GB2312" w:hAnsi="仿宋_GB2312" w:eastAsia="仿宋_GB2312" w:cs="仿宋_GB2312"/>
          <w:color w:val="000000"/>
          <w:kern w:val="60"/>
          <w:sz w:val="32"/>
          <w:szCs w:val="32"/>
        </w:rPr>
        <w:t>。</w:t>
      </w:r>
      <w:r>
        <w:rPr>
          <w:rFonts w:hint="eastAsia" w:ascii="仿宋_GB2312" w:hAnsi="仿宋_GB2312" w:eastAsia="仿宋_GB2312" w:cs="仿宋_GB2312"/>
          <w:color w:val="000000"/>
          <w:kern w:val="60"/>
          <w:sz w:val="32"/>
          <w:szCs w:val="32"/>
          <w:lang w:eastAsia="zh-CN"/>
        </w:rPr>
        <w:t>县</w:t>
      </w:r>
      <w:r>
        <w:rPr>
          <w:rFonts w:hint="eastAsia" w:ascii="仿宋_GB2312" w:hAnsi="仿宋_GB2312" w:eastAsia="仿宋_GB2312" w:cs="仿宋_GB2312"/>
          <w:kern w:val="2"/>
          <w:sz w:val="32"/>
          <w:szCs w:val="32"/>
          <w:lang w:val="en-US" w:eastAsia="zh-CN" w:bidi="ar-SA"/>
        </w:rPr>
        <w:t>有关部门</w:t>
      </w:r>
      <w:r>
        <w:rPr>
          <w:rFonts w:hint="eastAsia" w:ascii="仿宋_GB2312" w:hAnsi="仿宋_GB2312" w:eastAsia="仿宋_GB2312" w:cs="仿宋_GB2312"/>
          <w:color w:val="000000"/>
          <w:kern w:val="60"/>
          <w:sz w:val="32"/>
          <w:szCs w:val="32"/>
        </w:rPr>
        <w:t>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8"/>
          <w14:textFill>
            <w14:solidFill>
              <w14:schemeClr w14:val="tx1"/>
            </w14:solidFill>
          </w14:textFill>
        </w:rPr>
        <w:t>月</w:t>
      </w:r>
      <w:r>
        <w:rPr>
          <w:rFonts w:hint="eastAsia" w:ascii="仿宋_GB2312" w:hAnsi="仿宋_GB2312" w:eastAsia="仿宋_GB2312" w:cs="仿宋_GB2312"/>
          <w:color w:val="000000" w:themeColor="text1"/>
          <w:spacing w:val="-8"/>
          <w:lang w:val="en-US" w:eastAsia="zh-CN"/>
          <w14:textFill>
            <w14:solidFill>
              <w14:schemeClr w14:val="tx1"/>
            </w14:solidFill>
          </w14:textFill>
        </w:rPr>
        <w:t>25</w:t>
      </w:r>
      <w:r>
        <w:rPr>
          <w:rFonts w:hint="eastAsia" w:ascii="仿宋_GB2312" w:hAnsi="仿宋_GB2312" w:eastAsia="仿宋_GB2312" w:cs="仿宋_GB2312"/>
          <w:color w:val="000000" w:themeColor="text1"/>
          <w:spacing w:val="-8"/>
          <w14:textFill>
            <w14:solidFill>
              <w14:schemeClr w14:val="tx1"/>
            </w14:solidFill>
          </w14:textFill>
        </w:rPr>
        <w:t>日、</w:t>
      </w:r>
      <w:r>
        <w:rPr>
          <w:rFonts w:hint="eastAsia" w:ascii="仿宋_GB2312" w:hAnsi="仿宋_GB2312" w:eastAsia="仿宋_GB2312" w:cs="仿宋_GB2312"/>
          <w:color w:val="000000" w:themeColor="text1"/>
          <w:spacing w:val="-8"/>
          <w:lang w:val="en-US" w:eastAsia="zh-CN"/>
          <w14:textFill>
            <w14:solidFill>
              <w14:schemeClr w14:val="tx1"/>
            </w14:solidFill>
          </w14:textFill>
        </w:rPr>
        <w:t>6</w:t>
      </w:r>
      <w:r>
        <w:rPr>
          <w:rFonts w:hint="eastAsia" w:ascii="仿宋_GB2312" w:hAnsi="仿宋_GB2312" w:eastAsia="仿宋_GB2312" w:cs="仿宋_GB2312"/>
          <w:color w:val="000000" w:themeColor="text1"/>
          <w:spacing w:val="-8"/>
          <w14:textFill>
            <w14:solidFill>
              <w14:schemeClr w14:val="tx1"/>
            </w14:solidFill>
          </w14:textFill>
        </w:rPr>
        <w:t>月</w:t>
      </w:r>
      <w:r>
        <w:rPr>
          <w:rFonts w:hint="eastAsia" w:ascii="仿宋_GB2312" w:hAnsi="仿宋_GB2312" w:eastAsia="仿宋_GB2312" w:cs="仿宋_GB2312"/>
          <w:color w:val="000000" w:themeColor="text1"/>
          <w:spacing w:val="-8"/>
          <w:lang w:val="en-US" w:eastAsia="zh-CN"/>
          <w14:textFill>
            <w14:solidFill>
              <w14:schemeClr w14:val="tx1"/>
            </w14:solidFill>
          </w14:textFill>
        </w:rPr>
        <w:t>24</w:t>
      </w:r>
      <w:r>
        <w:rPr>
          <w:rFonts w:hint="eastAsia" w:ascii="仿宋_GB2312" w:hAnsi="仿宋_GB2312" w:eastAsia="仿宋_GB2312" w:cs="仿宋_GB2312"/>
          <w:color w:val="000000" w:themeColor="text1"/>
          <w:spacing w:val="-8"/>
          <w14:textFill>
            <w14:solidFill>
              <w14:schemeClr w14:val="tx1"/>
            </w14:solidFill>
          </w14:textFill>
        </w:rPr>
        <w:t>日、</w:t>
      </w:r>
      <w:r>
        <w:rPr>
          <w:rFonts w:hint="eastAsia" w:ascii="仿宋_GB2312" w:hAnsi="仿宋_GB2312" w:eastAsia="仿宋_GB2312" w:cs="仿宋_GB2312"/>
          <w:color w:val="000000" w:themeColor="text1"/>
          <w:spacing w:val="-8"/>
          <w:lang w:val="en-US" w:eastAsia="zh-CN"/>
          <w14:textFill>
            <w14:solidFill>
              <w14:schemeClr w14:val="tx1"/>
            </w14:solidFill>
          </w14:textFill>
        </w:rPr>
        <w:t>9</w:t>
      </w:r>
      <w:r>
        <w:rPr>
          <w:rFonts w:hint="eastAsia" w:ascii="仿宋_GB2312" w:hAnsi="仿宋_GB2312" w:eastAsia="仿宋_GB2312" w:cs="仿宋_GB2312"/>
          <w:color w:val="000000" w:themeColor="text1"/>
          <w:spacing w:val="-8"/>
          <w14:textFill>
            <w14:solidFill>
              <w14:schemeClr w14:val="tx1"/>
            </w14:solidFill>
          </w14:textFill>
        </w:rPr>
        <w:t>月</w:t>
      </w:r>
      <w:r>
        <w:rPr>
          <w:rFonts w:hint="eastAsia" w:ascii="仿宋_GB2312" w:hAnsi="仿宋_GB2312" w:eastAsia="仿宋_GB2312" w:cs="仿宋_GB2312"/>
          <w:color w:val="000000" w:themeColor="text1"/>
          <w:spacing w:val="-8"/>
          <w:lang w:val="en-US" w:eastAsia="zh-CN"/>
          <w14:textFill>
            <w14:solidFill>
              <w14:schemeClr w14:val="tx1"/>
            </w14:solidFill>
          </w14:textFill>
        </w:rPr>
        <w:t>27</w:t>
      </w:r>
      <w:r>
        <w:rPr>
          <w:rFonts w:hint="eastAsia" w:ascii="仿宋_GB2312" w:hAnsi="仿宋_GB2312" w:eastAsia="仿宋_GB2312" w:cs="仿宋_GB2312"/>
          <w:color w:val="000000" w:themeColor="text1"/>
          <w:spacing w:val="-8"/>
          <w14:textFill>
            <w14:solidFill>
              <w14:schemeClr w14:val="tx1"/>
            </w14:solidFill>
          </w14:textFill>
        </w:rPr>
        <w:t>日、12月</w:t>
      </w:r>
      <w:r>
        <w:rPr>
          <w:rFonts w:hint="eastAsia" w:ascii="仿宋_GB2312" w:hAnsi="仿宋_GB2312" w:eastAsia="仿宋_GB2312" w:cs="仿宋_GB2312"/>
          <w:color w:val="000000" w:themeColor="text1"/>
          <w:spacing w:val="-8"/>
          <w:lang w:val="en-US" w:eastAsia="zh-CN"/>
          <w14:textFill>
            <w14:solidFill>
              <w14:schemeClr w14:val="tx1"/>
            </w14:solidFill>
          </w14:textFill>
        </w:rPr>
        <w:t>25</w:t>
      </w:r>
      <w:r>
        <w:rPr>
          <w:rFonts w:hint="eastAsia" w:ascii="仿宋_GB2312" w:hAnsi="仿宋_GB2312" w:eastAsia="仿宋_GB2312" w:cs="仿宋_GB2312"/>
          <w:color w:val="000000" w:themeColor="text1"/>
          <w:spacing w:val="-8"/>
          <w14:textFill>
            <w14:solidFill>
              <w14:schemeClr w14:val="tx1"/>
            </w14:solidFill>
          </w14:textFill>
        </w:rPr>
        <w:t>日</w:t>
      </w:r>
      <w:r>
        <w:rPr>
          <w:rFonts w:hint="eastAsia" w:ascii="仿宋_GB2312" w:hAnsi="仿宋_GB2312" w:eastAsia="仿宋_GB2312" w:cs="仿宋_GB2312"/>
          <w:color w:val="000000"/>
          <w:sz w:val="32"/>
          <w:szCs w:val="32"/>
        </w:rPr>
        <w:t>前将本部门“双随机、一公开”监管工作</w:t>
      </w:r>
      <w:r>
        <w:rPr>
          <w:rFonts w:hint="eastAsia" w:ascii="仿宋_GB2312" w:hAnsi="仿宋_GB2312" w:eastAsia="仿宋_GB2312" w:cs="仿宋_GB2312"/>
          <w:color w:val="000000"/>
          <w:sz w:val="32"/>
          <w:szCs w:val="32"/>
          <w:lang w:eastAsia="zh-CN"/>
        </w:rPr>
        <w:t>进展情况、总结</w:t>
      </w:r>
      <w:r>
        <w:rPr>
          <w:rFonts w:hint="eastAsia" w:ascii="仿宋_GB2312" w:hAnsi="仿宋_GB2312" w:eastAsia="仿宋_GB2312" w:cs="仿宋_GB2312"/>
          <w:color w:val="000000"/>
          <w:sz w:val="32"/>
          <w:szCs w:val="32"/>
        </w:rPr>
        <w:t>报送</w:t>
      </w:r>
      <w:r>
        <w:rPr>
          <w:rFonts w:hint="eastAsia" w:ascii="仿宋_GB2312" w:hAnsi="仿宋_GB2312" w:eastAsia="仿宋_GB2312" w:cs="仿宋_GB2312"/>
          <w:color w:val="000000"/>
          <w:kern w:val="60"/>
          <w:sz w:val="32"/>
          <w:szCs w:val="32"/>
          <w:lang w:val="en-US" w:eastAsia="zh-CN"/>
        </w:rPr>
        <w:t>高阳县市场监督管理局</w:t>
      </w:r>
      <w:r>
        <w:rPr>
          <w:rFonts w:hint="eastAsia" w:ascii="仿宋_GB2312" w:hAnsi="仿宋_GB2312" w:eastAsia="仿宋_GB2312" w:cs="仿宋_GB2312"/>
          <w:color w:val="000000"/>
          <w:sz w:val="32"/>
          <w:szCs w:val="32"/>
        </w:rPr>
        <w:t>。</w:t>
      </w:r>
    </w:p>
    <w:p w14:paraId="7F7BAF84">
      <w:pPr>
        <w:pStyle w:val="3"/>
        <w:keepNext w:val="0"/>
        <w:keepLines w:val="0"/>
        <w:pageBreakBefore w:val="0"/>
        <w:widowControl w:val="0"/>
        <w:kinsoku/>
        <w:wordWrap/>
        <w:overflowPunct/>
        <w:topLinePunct w:val="0"/>
        <w:autoSpaceDE w:val="0"/>
        <w:autoSpaceDN w:val="0"/>
        <w:bidi w:val="0"/>
        <w:adjustRightInd w:val="0"/>
        <w:snapToGrid/>
        <w:spacing w:line="560" w:lineRule="exact"/>
        <w:ind w:left="0" w:right="0" w:rightChars="0" w:firstLine="640" w:firstLineChars="200"/>
        <w:jc w:val="both"/>
        <w:textAlignment w:val="auto"/>
        <w:rPr>
          <w:rFonts w:hint="eastAsia" w:ascii="仿宋_GB2312" w:hAnsi="仿宋_GB2312" w:eastAsia="仿宋_GB2312" w:cs="仿宋_GB2312"/>
          <w:color w:val="000000"/>
          <w:sz w:val="32"/>
          <w:szCs w:val="32"/>
        </w:rPr>
      </w:pPr>
    </w:p>
    <w:p w14:paraId="6D25E6E1">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bCs/>
          <w:color w:val="000000"/>
          <w:kern w:val="60"/>
          <w:sz w:val="32"/>
          <w:szCs w:val="32"/>
          <w:lang w:val="en-US" w:eastAsia="zh-CN" w:bidi="ar-SA"/>
        </w:rPr>
      </w:pPr>
      <w:r>
        <w:rPr>
          <w:rFonts w:hint="eastAsia" w:ascii="仿宋_GB2312" w:hAnsi="仿宋_GB2312" w:eastAsia="仿宋_GB2312" w:cs="仿宋_GB2312"/>
          <w:color w:val="000000"/>
          <w:sz w:val="32"/>
          <w:szCs w:val="32"/>
        </w:rPr>
        <w:t>联</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系</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bCs/>
          <w:color w:val="000000"/>
          <w:kern w:val="60"/>
          <w:sz w:val="32"/>
          <w:szCs w:val="32"/>
          <w:lang w:val="en-US" w:eastAsia="zh-CN" w:bidi="ar-SA"/>
        </w:rPr>
        <w:t>何思源、石伟倩</w:t>
      </w:r>
    </w:p>
    <w:p w14:paraId="5A58A118">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联系电话：6600155</w:t>
      </w:r>
    </w:p>
    <w:p w14:paraId="400D09C1">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sz w:val="32"/>
          <w:szCs w:val="32"/>
        </w:rPr>
        <w:t>电子邮箱：</w:t>
      </w:r>
      <w:r>
        <w:rPr>
          <w:rFonts w:hint="eastAsia" w:ascii="仿宋_GB2312" w:hAnsi="仿宋_GB2312" w:eastAsia="仿宋_GB2312" w:cs="仿宋_GB2312"/>
          <w:color w:val="000000"/>
          <w:sz w:val="32"/>
          <w:szCs w:val="32"/>
          <w:lang w:val="en-US" w:eastAsia="zh-CN"/>
        </w:rPr>
        <w:t>gyxssjbgs</w:t>
      </w:r>
      <w:r>
        <w:rPr>
          <w:rFonts w:hint="eastAsia" w:ascii="仿宋_GB2312" w:hAnsi="仿宋_GB2312" w:eastAsia="仿宋_GB2312" w:cs="仿宋_GB2312"/>
          <w:color w:val="000000"/>
          <w:kern w:val="0"/>
          <w:sz w:val="32"/>
          <w:szCs w:val="32"/>
          <w:lang w:val="en-US" w:eastAsia="zh-CN" w:bidi="ar-SA"/>
        </w:rPr>
        <w:t>@163.com</w:t>
      </w:r>
    </w:p>
    <w:p w14:paraId="62BE60B0">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outlineLvl w:val="9"/>
        <w:rPr>
          <w:rFonts w:hint="eastAsia" w:ascii="仿宋_GB2312" w:hAnsi="仿宋_GB2312" w:eastAsia="仿宋_GB2312" w:cs="仿宋_GB2312"/>
          <w:color w:val="000000"/>
          <w:kern w:val="60"/>
          <w:sz w:val="32"/>
          <w:szCs w:val="32"/>
        </w:rPr>
      </w:pPr>
    </w:p>
    <w:p w14:paraId="5E380EA8">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双随机、一公开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监管工作档案（模版）</w:t>
      </w:r>
    </w:p>
    <w:p w14:paraId="43564420">
      <w:pPr>
        <w:pageBreakBefore w:val="0"/>
        <w:widowControl w:val="0"/>
        <w:wordWrap/>
        <w:topLinePunct w:val="0"/>
        <w:bidi w:val="0"/>
        <w:spacing w:line="560" w:lineRule="exact"/>
        <w:ind w:left="0" w:right="0" w:rightChars="0"/>
        <w:jc w:val="left"/>
        <w:rPr>
          <w:rFonts w:hint="eastAsia" w:ascii="黑体" w:hAnsi="黑体" w:eastAsia="黑体" w:cs="黑体"/>
          <w:color w:val="000000"/>
          <w:sz w:val="32"/>
          <w:szCs w:val="32"/>
        </w:rPr>
      </w:pPr>
    </w:p>
    <w:p w14:paraId="6B98640B">
      <w:pPr>
        <w:pageBreakBefore w:val="0"/>
        <w:widowControl w:val="0"/>
        <w:wordWrap/>
        <w:topLinePunct w:val="0"/>
        <w:bidi w:val="0"/>
        <w:spacing w:line="560" w:lineRule="exact"/>
        <w:ind w:left="0" w:right="0" w:rightChars="0"/>
        <w:jc w:val="left"/>
        <w:rPr>
          <w:rFonts w:hint="eastAsia" w:ascii="黑体" w:hAnsi="黑体" w:eastAsia="黑体" w:cs="黑体"/>
          <w:color w:val="000000"/>
          <w:sz w:val="32"/>
          <w:szCs w:val="32"/>
        </w:rPr>
      </w:pPr>
    </w:p>
    <w:p w14:paraId="13D42AFB">
      <w:pPr>
        <w:pStyle w:val="3"/>
        <w:pageBreakBefore w:val="0"/>
        <w:widowControl w:val="0"/>
        <w:kinsoku w:val="0"/>
        <w:wordWrap/>
        <w:overflowPunct w:val="0"/>
        <w:topLinePunct w:val="0"/>
        <w:bidi w:val="0"/>
        <w:spacing w:line="560" w:lineRule="exact"/>
        <w:ind w:left="0" w:leftChars="0" w:right="0" w:rightChars="0" w:firstLine="0" w:firstLineChars="0"/>
        <w:rPr>
          <w:rFonts w:hint="eastAsia" w:ascii="Times New Roman" w:hAnsi="Times New Roman" w:eastAsia="仿宋_GB2312" w:cs="Times New Roman"/>
          <w:sz w:val="2"/>
          <w:szCs w:val="2"/>
          <w:lang w:eastAsia="zh-CN"/>
        </w:rPr>
      </w:pPr>
    </w:p>
    <w:sectPr>
      <w:pgSz w:w="11910" w:h="16840"/>
      <w:pgMar w:top="2098" w:right="1417" w:bottom="1984" w:left="1531" w:header="0" w:footer="0" w:gutter="0"/>
      <w:pgNumType w:fmt="numberInDash"/>
      <w:cols w:equalWidth="0" w:num="1">
        <w:col w:w="906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392BE8-2AD6-4F98-A34A-DC0234C501A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FangSong_GB2312">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2" w:fontKey="{AC66E4E2-7330-448B-9092-7A662AAB4FC2}"/>
  </w:font>
  <w:font w:name="方正小标宋简体">
    <w:panose1 w:val="02000000000000000000"/>
    <w:charset w:val="86"/>
    <w:family w:val="auto"/>
    <w:pitch w:val="default"/>
    <w:sig w:usb0="A00002BF" w:usb1="184F6CFA" w:usb2="00000012" w:usb3="00000000" w:csb0="00040001" w:csb1="00000000"/>
    <w:embedRegular r:id="rId3" w:fontKey="{25038A67-F88A-474E-A1FC-2A68879A6ED7}"/>
  </w:font>
  <w:font w:name="方正小标宋_GBK">
    <w:panose1 w:val="02000000000000000000"/>
    <w:charset w:val="86"/>
    <w:family w:val="script"/>
    <w:pitch w:val="default"/>
    <w:sig w:usb0="A00002BF" w:usb1="38CF7CFA" w:usb2="00082016" w:usb3="00000000" w:csb0="00040001" w:csb1="00000000"/>
    <w:embedRegular r:id="rId4" w:fontKey="{318F0D6D-FB63-4460-B283-62E0A631B996}"/>
  </w:font>
  <w:font w:name="楷体_GB2312">
    <w:panose1 w:val="02010609030101010101"/>
    <w:charset w:val="86"/>
    <w:family w:val="auto"/>
    <w:pitch w:val="default"/>
    <w:sig w:usb0="00000001" w:usb1="080E0000" w:usb2="00000000" w:usb3="00000000" w:csb0="00040000" w:csb1="00000000"/>
    <w:embedRegular r:id="rId5" w:fontKey="{60ACEC2B-C146-4CE5-A5B1-625AF0F5A194}"/>
  </w:font>
  <w:font w:name="WPSEMBED5">
    <w:panose1 w:val="02010609030101010101"/>
    <w:charset w:val="86"/>
    <w:family w:val="auto"/>
    <w:pitch w:val="default"/>
    <w:sig w:usb0="00000001" w:usb1="080E0000" w:usb2="00000000" w:usb3="00000000" w:csb0="00040000" w:csb1="00000000"/>
  </w:font>
  <w:font w:name="WPSEMBED6">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557A9">
    <w:pPr>
      <w:pStyle w:val="3"/>
      <w:kinsoku w:val="0"/>
      <w:overflowPunct w:val="0"/>
      <w:spacing w:line="14" w:lineRule="auto"/>
      <w:ind w:left="0"/>
      <w:rPr>
        <w:rFonts w:ascii="Times New Roman" w:cs="Times New Roman" w:eastAsiaTheme="minorEastAsia"/>
        <w:sz w:val="2"/>
        <w:szCs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64"/>
  <w:drawingGridVerticalSpacing w:val="911"/>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NTc3ZWFmNzU1ZmJiNDI5ZjNlZWUyMjdiNjlmMGEifQ=="/>
  </w:docVars>
  <w:rsids>
    <w:rsidRoot w:val="00E81EA5"/>
    <w:rsid w:val="0000477E"/>
    <w:rsid w:val="00014372"/>
    <w:rsid w:val="0003074A"/>
    <w:rsid w:val="00052CED"/>
    <w:rsid w:val="000F2CAB"/>
    <w:rsid w:val="000F30A3"/>
    <w:rsid w:val="000F7159"/>
    <w:rsid w:val="0010502F"/>
    <w:rsid w:val="001569B3"/>
    <w:rsid w:val="001A26A2"/>
    <w:rsid w:val="001E3E98"/>
    <w:rsid w:val="0021193B"/>
    <w:rsid w:val="00214CB3"/>
    <w:rsid w:val="00234B70"/>
    <w:rsid w:val="0027137E"/>
    <w:rsid w:val="002A6925"/>
    <w:rsid w:val="002B4746"/>
    <w:rsid w:val="002F2A39"/>
    <w:rsid w:val="002F41A7"/>
    <w:rsid w:val="00344EFB"/>
    <w:rsid w:val="00360F12"/>
    <w:rsid w:val="003614D5"/>
    <w:rsid w:val="00372EB5"/>
    <w:rsid w:val="003A0F9B"/>
    <w:rsid w:val="003C6FAA"/>
    <w:rsid w:val="003F3252"/>
    <w:rsid w:val="00416362"/>
    <w:rsid w:val="0047256A"/>
    <w:rsid w:val="00537A98"/>
    <w:rsid w:val="00540056"/>
    <w:rsid w:val="005E4071"/>
    <w:rsid w:val="00693127"/>
    <w:rsid w:val="00695EB8"/>
    <w:rsid w:val="006A6A42"/>
    <w:rsid w:val="006B496C"/>
    <w:rsid w:val="006C0777"/>
    <w:rsid w:val="006D2734"/>
    <w:rsid w:val="006D470C"/>
    <w:rsid w:val="006E0018"/>
    <w:rsid w:val="00707134"/>
    <w:rsid w:val="007430DA"/>
    <w:rsid w:val="00760962"/>
    <w:rsid w:val="007B7788"/>
    <w:rsid w:val="007D2FD9"/>
    <w:rsid w:val="007E6989"/>
    <w:rsid w:val="008143F0"/>
    <w:rsid w:val="0084660E"/>
    <w:rsid w:val="008B6FC0"/>
    <w:rsid w:val="008C3461"/>
    <w:rsid w:val="008C6659"/>
    <w:rsid w:val="008E69C5"/>
    <w:rsid w:val="00900BF2"/>
    <w:rsid w:val="00924C63"/>
    <w:rsid w:val="0092521F"/>
    <w:rsid w:val="00950550"/>
    <w:rsid w:val="0096028A"/>
    <w:rsid w:val="00976093"/>
    <w:rsid w:val="009C16F6"/>
    <w:rsid w:val="009D3FAD"/>
    <w:rsid w:val="00A2725A"/>
    <w:rsid w:val="00AA5514"/>
    <w:rsid w:val="00AB73E8"/>
    <w:rsid w:val="00AC1713"/>
    <w:rsid w:val="00B64364"/>
    <w:rsid w:val="00BE550A"/>
    <w:rsid w:val="00C37C8E"/>
    <w:rsid w:val="00D747FD"/>
    <w:rsid w:val="00DD5A67"/>
    <w:rsid w:val="00DE27B0"/>
    <w:rsid w:val="00DE7363"/>
    <w:rsid w:val="00E81EA5"/>
    <w:rsid w:val="00EA5A19"/>
    <w:rsid w:val="00EA7A73"/>
    <w:rsid w:val="00EC5341"/>
    <w:rsid w:val="00ED069E"/>
    <w:rsid w:val="00F376BF"/>
    <w:rsid w:val="00F633A2"/>
    <w:rsid w:val="00F66588"/>
    <w:rsid w:val="00F71EBA"/>
    <w:rsid w:val="00FC61F6"/>
    <w:rsid w:val="00FE5182"/>
    <w:rsid w:val="00FF3338"/>
    <w:rsid w:val="01B464A4"/>
    <w:rsid w:val="02704AC1"/>
    <w:rsid w:val="02BA6B3C"/>
    <w:rsid w:val="03947F55"/>
    <w:rsid w:val="03FE3CA5"/>
    <w:rsid w:val="074712A8"/>
    <w:rsid w:val="086A071E"/>
    <w:rsid w:val="0D2014D6"/>
    <w:rsid w:val="0D6A4506"/>
    <w:rsid w:val="0D860EC5"/>
    <w:rsid w:val="0EE96BDE"/>
    <w:rsid w:val="0EEC62C4"/>
    <w:rsid w:val="0F0F3A3B"/>
    <w:rsid w:val="103D25B1"/>
    <w:rsid w:val="10774A97"/>
    <w:rsid w:val="10C84F83"/>
    <w:rsid w:val="11515202"/>
    <w:rsid w:val="13A95830"/>
    <w:rsid w:val="147A286F"/>
    <w:rsid w:val="14B35ABC"/>
    <w:rsid w:val="16AC6952"/>
    <w:rsid w:val="16FC0019"/>
    <w:rsid w:val="17627A8A"/>
    <w:rsid w:val="1955117E"/>
    <w:rsid w:val="1A713A29"/>
    <w:rsid w:val="1CB87F11"/>
    <w:rsid w:val="1ECD4DAB"/>
    <w:rsid w:val="1FD44A7B"/>
    <w:rsid w:val="21900E1F"/>
    <w:rsid w:val="21B24356"/>
    <w:rsid w:val="231F7CDE"/>
    <w:rsid w:val="2351253E"/>
    <w:rsid w:val="235F05A0"/>
    <w:rsid w:val="2765311F"/>
    <w:rsid w:val="276B5630"/>
    <w:rsid w:val="27C1077C"/>
    <w:rsid w:val="27CA4CC7"/>
    <w:rsid w:val="27E4137B"/>
    <w:rsid w:val="2F6F3FA5"/>
    <w:rsid w:val="30123FFF"/>
    <w:rsid w:val="34795E12"/>
    <w:rsid w:val="347C1A65"/>
    <w:rsid w:val="36121A43"/>
    <w:rsid w:val="37B213A9"/>
    <w:rsid w:val="388163D9"/>
    <w:rsid w:val="38817139"/>
    <w:rsid w:val="39344F8B"/>
    <w:rsid w:val="3B457B49"/>
    <w:rsid w:val="3B6C7846"/>
    <w:rsid w:val="3C70105C"/>
    <w:rsid w:val="3DFA6BFA"/>
    <w:rsid w:val="3F7170B1"/>
    <w:rsid w:val="41AA098C"/>
    <w:rsid w:val="4407278A"/>
    <w:rsid w:val="4569104B"/>
    <w:rsid w:val="46CC1C7E"/>
    <w:rsid w:val="4B426609"/>
    <w:rsid w:val="4E096578"/>
    <w:rsid w:val="4E2F29C0"/>
    <w:rsid w:val="50D93483"/>
    <w:rsid w:val="54BA4247"/>
    <w:rsid w:val="554924A5"/>
    <w:rsid w:val="58514147"/>
    <w:rsid w:val="58D32208"/>
    <w:rsid w:val="59DD7A04"/>
    <w:rsid w:val="59ED3194"/>
    <w:rsid w:val="5A851901"/>
    <w:rsid w:val="5B4D68C3"/>
    <w:rsid w:val="5CBE6EA7"/>
    <w:rsid w:val="5D9923BD"/>
    <w:rsid w:val="5DD01B79"/>
    <w:rsid w:val="5E2420D4"/>
    <w:rsid w:val="5E677C9B"/>
    <w:rsid w:val="5F150B51"/>
    <w:rsid w:val="5F546472"/>
    <w:rsid w:val="607F0675"/>
    <w:rsid w:val="63307A2F"/>
    <w:rsid w:val="639E6350"/>
    <w:rsid w:val="661258E4"/>
    <w:rsid w:val="6ACE2D47"/>
    <w:rsid w:val="6C5F7359"/>
    <w:rsid w:val="6CEB1A97"/>
    <w:rsid w:val="6F655B31"/>
    <w:rsid w:val="736C3591"/>
    <w:rsid w:val="740B1442"/>
    <w:rsid w:val="75D05550"/>
    <w:rsid w:val="75F55735"/>
    <w:rsid w:val="79317119"/>
    <w:rsid w:val="79697AA3"/>
    <w:rsid w:val="7C3847D9"/>
    <w:rsid w:val="7E1E1C40"/>
    <w:rsid w:val="7E823739"/>
    <w:rsid w:val="7FAA0C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adjustRightInd w:val="0"/>
    </w:pPr>
    <w:rPr>
      <w:rFonts w:ascii="Times New Roman" w:hAnsi="Times New Roman" w:cs="Times New Roman" w:eastAsiaTheme="minorEastAsia"/>
      <w:kern w:val="0"/>
      <w:sz w:val="24"/>
      <w:szCs w:val="24"/>
      <w:lang w:val="en-US" w:eastAsia="zh-CN" w:bidi="ar-SA"/>
    </w:rPr>
  </w:style>
  <w:style w:type="paragraph" w:styleId="2">
    <w:name w:val="heading 1"/>
    <w:basedOn w:val="1"/>
    <w:next w:val="1"/>
    <w:link w:val="14"/>
    <w:autoRedefine/>
    <w:qFormat/>
    <w:uiPriority w:val="1"/>
    <w:pPr>
      <w:ind w:left="115"/>
      <w:outlineLvl w:val="0"/>
    </w:pPr>
    <w:rPr>
      <w:rFonts w:ascii="宋体" w:eastAsia="宋体" w:cs="宋体"/>
      <w:sz w:val="44"/>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3"/>
    <w:autoRedefine/>
    <w:qFormat/>
    <w:uiPriority w:val="1"/>
    <w:pPr>
      <w:ind w:left="108"/>
    </w:pPr>
    <w:rPr>
      <w:rFonts w:ascii="宋体" w:eastAsia="宋体" w:cs="宋体"/>
      <w:sz w:val="32"/>
      <w:szCs w:val="32"/>
    </w:rPr>
  </w:style>
  <w:style w:type="paragraph" w:styleId="4">
    <w:name w:val="Balloon Text"/>
    <w:basedOn w:val="1"/>
    <w:link w:val="19"/>
    <w:autoRedefine/>
    <w:semiHidden/>
    <w:unhideWhenUsed/>
    <w:qFormat/>
    <w:uiPriority w:val="99"/>
    <w:rPr>
      <w:sz w:val="18"/>
      <w:szCs w:val="18"/>
    </w:rPr>
  </w:style>
  <w:style w:type="paragraph" w:styleId="5">
    <w:name w:val="footer"/>
    <w:basedOn w:val="1"/>
    <w:link w:val="18"/>
    <w:autoRedefine/>
    <w:unhideWhenUsed/>
    <w:qFormat/>
    <w:uiPriority w:val="99"/>
    <w:pPr>
      <w:tabs>
        <w:tab w:val="center" w:pos="4153"/>
        <w:tab w:val="right" w:pos="8306"/>
      </w:tabs>
      <w:snapToGrid w:val="0"/>
    </w:pPr>
    <w:rPr>
      <w:sz w:val="18"/>
      <w:szCs w:val="18"/>
    </w:rPr>
  </w:style>
  <w:style w:type="paragraph" w:styleId="6">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after="60"/>
      <w:jc w:val="center"/>
      <w:outlineLvl w:val="0"/>
    </w:pPr>
    <w:rPr>
      <w:rFonts w:ascii="Cambria" w:hAnsi="Cambria" w:cs="Times New Roman"/>
      <w:b/>
      <w:bCs/>
      <w:sz w:val="32"/>
      <w:szCs w:val="32"/>
    </w:rPr>
  </w:style>
  <w:style w:type="character" w:styleId="10">
    <w:name w:val="page number"/>
    <w:basedOn w:val="9"/>
    <w:autoRedefine/>
    <w:qFormat/>
    <w:uiPriority w:val="0"/>
  </w:style>
  <w:style w:type="character" w:styleId="11">
    <w:name w:val="Hyperlink"/>
    <w:basedOn w:val="9"/>
    <w:autoRedefine/>
    <w:unhideWhenUsed/>
    <w:qFormat/>
    <w:uiPriority w:val="99"/>
    <w:rPr>
      <w:color w:val="0000FF" w:themeColor="hyperlink"/>
      <w:u w:val="single"/>
      <w14:textFill>
        <w14:solidFill>
          <w14:schemeClr w14:val="hlink"/>
        </w14:solidFill>
      </w14:textFill>
    </w:rPr>
  </w:style>
  <w:style w:type="paragraph" w:customStyle="1" w:styleId="12">
    <w:name w:val="Heading3"/>
    <w:basedOn w:val="1"/>
    <w:next w:val="1"/>
    <w:autoRedefine/>
    <w:qFormat/>
    <w:uiPriority w:val="99"/>
    <w:pPr>
      <w:keepNext/>
      <w:keepLines/>
      <w:spacing w:line="560" w:lineRule="exact"/>
      <w:textAlignment w:val="baseline"/>
    </w:pPr>
    <w:rPr>
      <w:rFonts w:ascii="Calibri" w:hAnsi="Calibri" w:cs="Calibri"/>
      <w:b/>
      <w:bCs/>
    </w:rPr>
  </w:style>
  <w:style w:type="character" w:customStyle="1" w:styleId="13">
    <w:name w:val="正文文本 字符"/>
    <w:basedOn w:val="9"/>
    <w:link w:val="3"/>
    <w:autoRedefine/>
    <w:semiHidden/>
    <w:qFormat/>
    <w:uiPriority w:val="99"/>
    <w:rPr>
      <w:rFonts w:ascii="Times New Roman" w:hAnsi="Times New Roman" w:cs="Times New Roman"/>
      <w:kern w:val="0"/>
      <w:sz w:val="24"/>
      <w:szCs w:val="24"/>
    </w:rPr>
  </w:style>
  <w:style w:type="character" w:customStyle="1" w:styleId="14">
    <w:name w:val="标题 1 字符"/>
    <w:basedOn w:val="9"/>
    <w:link w:val="2"/>
    <w:autoRedefine/>
    <w:qFormat/>
    <w:uiPriority w:val="9"/>
    <w:rPr>
      <w:rFonts w:ascii="Times New Roman" w:hAnsi="Times New Roman" w:cs="Times New Roman"/>
      <w:b/>
      <w:bCs/>
      <w:kern w:val="44"/>
      <w:sz w:val="44"/>
      <w:szCs w:val="44"/>
    </w:rPr>
  </w:style>
  <w:style w:type="paragraph" w:styleId="15">
    <w:name w:val="List Paragraph"/>
    <w:basedOn w:val="1"/>
    <w:autoRedefine/>
    <w:qFormat/>
    <w:uiPriority w:val="1"/>
  </w:style>
  <w:style w:type="paragraph" w:customStyle="1" w:styleId="16">
    <w:name w:val="Table Paragraph"/>
    <w:basedOn w:val="1"/>
    <w:autoRedefine/>
    <w:qFormat/>
    <w:uiPriority w:val="1"/>
  </w:style>
  <w:style w:type="character" w:customStyle="1" w:styleId="17">
    <w:name w:val="页眉 字符"/>
    <w:basedOn w:val="9"/>
    <w:link w:val="6"/>
    <w:autoRedefine/>
    <w:qFormat/>
    <w:uiPriority w:val="99"/>
    <w:rPr>
      <w:rFonts w:ascii="Times New Roman" w:hAnsi="Times New Roman" w:cs="Times New Roman"/>
      <w:kern w:val="0"/>
      <w:sz w:val="18"/>
      <w:szCs w:val="18"/>
    </w:rPr>
  </w:style>
  <w:style w:type="character" w:customStyle="1" w:styleId="18">
    <w:name w:val="页脚 字符"/>
    <w:basedOn w:val="9"/>
    <w:link w:val="5"/>
    <w:autoRedefine/>
    <w:qFormat/>
    <w:uiPriority w:val="99"/>
    <w:rPr>
      <w:rFonts w:ascii="Times New Roman" w:hAnsi="Times New Roman" w:cs="Times New Roman"/>
      <w:kern w:val="0"/>
      <w:sz w:val="18"/>
      <w:szCs w:val="18"/>
    </w:rPr>
  </w:style>
  <w:style w:type="character" w:customStyle="1" w:styleId="19">
    <w:name w:val="批注框文本 字符"/>
    <w:basedOn w:val="9"/>
    <w:link w:val="4"/>
    <w:autoRedefine/>
    <w:semiHidden/>
    <w:qFormat/>
    <w:uiPriority w:val="99"/>
    <w:rPr>
      <w:rFonts w:ascii="Times New Roman" w:hAnsi="Times New Roman" w:cs="Times New Roman"/>
      <w:kern w:val="0"/>
      <w:sz w:val="18"/>
      <w:szCs w:val="18"/>
    </w:rPr>
  </w:style>
  <w:style w:type="paragraph" w:customStyle="1" w:styleId="20">
    <w:name w:val="Heading #2|1"/>
    <w:basedOn w:val="1"/>
    <w:autoRedefine/>
    <w:qFormat/>
    <w:uiPriority w:val="0"/>
    <w:pPr>
      <w:widowControl w:val="0"/>
      <w:shd w:val="clear" w:color="auto" w:fill="auto"/>
      <w:spacing w:after="540" w:line="662" w:lineRule="exact"/>
      <w:jc w:val="center"/>
      <w:outlineLvl w:val="1"/>
    </w:pPr>
    <w:rPr>
      <w:rFonts w:ascii="宋体" w:hAnsi="宋体" w:eastAsia="宋体" w:cs="宋体"/>
      <w:sz w:val="40"/>
      <w:szCs w:val="40"/>
      <w:u w:val="none"/>
      <w:shd w:val="clear" w:color="auto" w:fill="auto"/>
      <w:lang w:val="zh-TW" w:eastAsia="zh-TW" w:bidi="zh-TW"/>
    </w:rPr>
  </w:style>
  <w:style w:type="paragraph" w:customStyle="1" w:styleId="21">
    <w:name w:val="Body text|1"/>
    <w:basedOn w:val="1"/>
    <w:autoRedefine/>
    <w:qFormat/>
    <w:uiPriority w:val="0"/>
    <w:pPr>
      <w:widowControl w:val="0"/>
      <w:shd w:val="clear" w:color="auto" w:fill="auto"/>
      <w:spacing w:line="420" w:lineRule="auto"/>
      <w:ind w:firstLine="400"/>
    </w:pPr>
    <w:rPr>
      <w:rFonts w:ascii="宋体" w:hAnsi="宋体" w:eastAsia="宋体" w:cs="宋体"/>
      <w:sz w:val="28"/>
      <w:szCs w:val="28"/>
      <w:u w:val="none"/>
      <w:shd w:val="clear" w:color="auto" w:fill="auto"/>
      <w:lang w:val="zh-TW" w:eastAsia="zh-TW" w:bidi="zh-TW"/>
    </w:rPr>
  </w:style>
  <w:style w:type="paragraph" w:customStyle="1" w:styleId="22">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FangSong_GB2312" w:hAnsi="FangSong_GB2312" w:eastAsia="FangSong_GB2312" w:cs="FangSong_GB2312"/>
      <w:sz w:val="28"/>
      <w:szCs w:val="2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2544</Words>
  <Characters>2607</Characters>
  <Lines>3</Lines>
  <Paragraphs>1</Paragraphs>
  <TotalTime>34</TotalTime>
  <ScaleCrop>false</ScaleCrop>
  <LinksUpToDate>false</LinksUpToDate>
  <CharactersWithSpaces>2646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2020-01-08T06:56:00Z</dcterms:created>
  <dc:creator>冯樱</dc:creator>
  <cp:lastModifiedBy>石伟倩</cp:lastModifiedBy>
  <cp:lastPrinted>2026-02-10T08:30:00Z</cp:lastPrinted>
  <dcterms:modified xsi:type="dcterms:W3CDTF">2026-03-10T02:36:39Z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Office</vt:lpwstr>
  </property>
  <property fmtid="{D5CDD505-2E9C-101B-9397-08002B2CF9AE}" pid="3" name="KSOProductBuildVer">
    <vt:lpwstr>2052-12.1.0.23542</vt:lpwstr>
  </property>
  <property fmtid="{D5CDD505-2E9C-101B-9397-08002B2CF9AE}" pid="4" name="ICV">
    <vt:lpwstr>6FCF5874EDD34DB9A1B0D95188F303B6_13</vt:lpwstr>
  </property>
  <property fmtid="{D5CDD505-2E9C-101B-9397-08002B2CF9AE}" pid="5" name="KSOTemplateDocerSaveRecord">
    <vt:lpwstr>eyJoZGlkIjoiOWRlN2UxNjNmYWQyZDRjYTU5MDFiOWEzOGNjZGNhZWYiLCJ1c2VySWQiOiIxNjgyODk4OTkyIn0=</vt:lpwstr>
  </property>
</Properties>
</file>