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/>
          <w:bCs/>
          <w:sz w:val="36"/>
          <w:szCs w:val="36"/>
          <w:highlight w:val="none"/>
        </w:rPr>
      </w:pPr>
      <w:r>
        <w:rPr>
          <w:rFonts w:hint="eastAsia" w:ascii="黑体" w:hAnsi="黑体" w:eastAsia="黑体" w:cs="FZXiaoBiaoSong-B05"/>
          <w:color w:val="000000"/>
          <w:kern w:val="0"/>
          <w:sz w:val="36"/>
          <w:szCs w:val="36"/>
          <w:highlight w:val="none"/>
        </w:rPr>
        <w:t>高阳县关于</w:t>
      </w:r>
      <w:r>
        <w:rPr>
          <w:rFonts w:ascii="黑体" w:hAnsi="黑体" w:eastAsia="黑体"/>
          <w:color w:val="000000"/>
          <w:kern w:val="0"/>
          <w:sz w:val="36"/>
          <w:szCs w:val="36"/>
          <w:highlight w:val="none"/>
        </w:rPr>
        <w:t>202</w:t>
      </w:r>
      <w:r>
        <w:rPr>
          <w:rFonts w:hint="eastAsia" w:ascii="黑体" w:hAnsi="黑体" w:eastAsia="黑体"/>
          <w:color w:val="000000"/>
          <w:kern w:val="0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黑体" w:hAnsi="黑体" w:eastAsia="黑体" w:cs="FZXiaoBiaoSong-B05"/>
          <w:color w:val="000000"/>
          <w:kern w:val="0"/>
          <w:sz w:val="36"/>
          <w:szCs w:val="36"/>
          <w:highlight w:val="none"/>
        </w:rPr>
        <w:t>年预算公开有关事项的说明</w:t>
      </w:r>
    </w:p>
    <w:p>
      <w:p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一、安排“三公”经费预算情况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年，我县根据国家相关规定，不折不扣落实过“紧日子”要求，厉行节约，严控和压缩“三公”经费，20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  <w:highlight w:val="none"/>
        </w:rPr>
        <w:t>年县级“三公”经费共安排6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58</w:t>
      </w:r>
      <w:r>
        <w:rPr>
          <w:rFonts w:hint="eastAsia" w:ascii="仿宋_GB2312" w:eastAsia="仿宋_GB2312"/>
          <w:sz w:val="32"/>
          <w:szCs w:val="32"/>
          <w:highlight w:val="none"/>
        </w:rPr>
        <w:t>万元。具体安排情况如下：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</w:rPr>
        <w:t>（一）因公出国（境）费。</w:t>
      </w:r>
      <w:r>
        <w:rPr>
          <w:rFonts w:hint="eastAsia" w:ascii="仿宋_GB2312" w:eastAsia="仿宋_GB2312"/>
          <w:sz w:val="32"/>
          <w:szCs w:val="32"/>
          <w:highlight w:val="none"/>
        </w:rPr>
        <w:t>共安排0万元，较上年无变化。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</w:rPr>
        <w:t>（二）公务用车购置及运维费。</w:t>
      </w:r>
      <w:r>
        <w:rPr>
          <w:rFonts w:hint="eastAsia" w:ascii="仿宋_GB2312" w:eastAsia="仿宋_GB2312"/>
          <w:sz w:val="32"/>
          <w:szCs w:val="32"/>
          <w:highlight w:val="none"/>
        </w:rPr>
        <w:t>按照“精打细算、勤俭节约”原则，共安排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493</w:t>
      </w:r>
      <w:r>
        <w:rPr>
          <w:rFonts w:hint="eastAsia" w:ascii="仿宋_GB2312" w:eastAsia="仿宋_GB2312"/>
          <w:sz w:val="32"/>
          <w:szCs w:val="32"/>
          <w:highlight w:val="none"/>
        </w:rPr>
        <w:t>万元，较上年减少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  <w:highlight w:val="none"/>
        </w:rPr>
        <w:t>万元，其中：一是公务用车购置费0万元，二是公务用车运行维护费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楷体" w:hAnsi="楷体" w:eastAsia="楷体"/>
          <w:b/>
          <w:sz w:val="32"/>
          <w:szCs w:val="32"/>
          <w:highlight w:val="none"/>
        </w:rPr>
        <w:t>（三）公务接待费。</w:t>
      </w:r>
      <w:r>
        <w:rPr>
          <w:rFonts w:hint="eastAsia" w:ascii="仿宋_GB2312" w:eastAsia="仿宋_GB2312"/>
          <w:sz w:val="32"/>
          <w:szCs w:val="32"/>
          <w:highlight w:val="none"/>
        </w:rPr>
        <w:t>共安排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165</w:t>
      </w:r>
      <w:r>
        <w:rPr>
          <w:rFonts w:hint="eastAsia" w:ascii="仿宋_GB2312" w:eastAsia="仿宋_GB2312"/>
          <w:sz w:val="32"/>
          <w:szCs w:val="32"/>
          <w:highlight w:val="none"/>
        </w:rPr>
        <w:t>万元，较上年减少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万元，主要是根据厉行节约要求，接待任务安排减少。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二、县级政府债务及还本付息情况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  <w:highlight w:val="none"/>
        </w:rPr>
      </w:pPr>
      <w:r>
        <w:rPr>
          <w:rFonts w:hint="eastAsia" w:ascii="楷体" w:hAnsi="楷体" w:eastAsia="楷体"/>
          <w:bCs/>
          <w:sz w:val="32"/>
          <w:szCs w:val="32"/>
          <w:highlight w:val="none"/>
        </w:rPr>
        <w:t>（一）一般债务。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截至202</w:t>
      </w:r>
      <w:r>
        <w:rPr>
          <w:rFonts w:hint="eastAsia" w:ascii="仿宋" w:hAnsi="仿宋" w:eastAsia="仿宋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年底，县本级一般债务限额</w:t>
      </w:r>
      <w:r>
        <w:rPr>
          <w:rFonts w:hint="eastAsia" w:ascii="仿宋" w:hAnsi="仿宋" w:eastAsia="仿宋"/>
          <w:bCs/>
          <w:sz w:val="32"/>
          <w:szCs w:val="32"/>
          <w:highlight w:val="none"/>
          <w:lang w:val="en-US" w:eastAsia="zh-CN"/>
        </w:rPr>
        <w:t>13.24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亿元、一般债务余额</w:t>
      </w:r>
      <w:r>
        <w:rPr>
          <w:rFonts w:hint="eastAsia" w:ascii="仿宋" w:hAnsi="仿宋" w:eastAsia="仿宋"/>
          <w:bCs/>
          <w:sz w:val="32"/>
          <w:szCs w:val="32"/>
          <w:highlight w:val="none"/>
          <w:lang w:val="en-US" w:eastAsia="zh-CN"/>
        </w:rPr>
        <w:t>12.95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年县本级需偿还地方政府一般债券本息共计</w:t>
      </w:r>
      <w:r>
        <w:rPr>
          <w:rFonts w:hint="eastAsia" w:ascii="仿宋" w:hAnsi="仿宋" w:eastAsia="仿宋"/>
          <w:bCs/>
          <w:sz w:val="32"/>
          <w:szCs w:val="32"/>
          <w:highlight w:val="none"/>
          <w:lang w:val="en-US" w:eastAsia="zh-CN"/>
        </w:rPr>
        <w:t>0.68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亿元，其中：债券本金0</w:t>
      </w:r>
      <w:r>
        <w:rPr>
          <w:rFonts w:hint="eastAsia" w:ascii="仿宋" w:hAnsi="仿宋" w:eastAsia="仿宋"/>
          <w:bCs/>
          <w:sz w:val="32"/>
          <w:szCs w:val="32"/>
          <w:highlight w:val="none"/>
          <w:lang w:val="en-US" w:eastAsia="zh-CN"/>
        </w:rPr>
        <w:t>.28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亿元、债券利息0.</w:t>
      </w:r>
      <w:r>
        <w:rPr>
          <w:rFonts w:hint="eastAsia" w:ascii="仿宋" w:hAnsi="仿宋" w:eastAsia="仿宋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  <w:highlight w:val="none"/>
        </w:rPr>
      </w:pPr>
      <w:r>
        <w:rPr>
          <w:rFonts w:hint="eastAsia" w:ascii="楷体" w:hAnsi="楷体" w:eastAsia="楷体"/>
          <w:bCs/>
          <w:sz w:val="32"/>
          <w:szCs w:val="32"/>
          <w:highlight w:val="none"/>
        </w:rPr>
        <w:t>（二）专项债券。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截至202</w:t>
      </w:r>
      <w:r>
        <w:rPr>
          <w:rFonts w:hint="eastAsia" w:ascii="仿宋" w:hAnsi="仿宋" w:eastAsia="仿宋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年底，县本级专项债务限额</w:t>
      </w:r>
      <w:r>
        <w:rPr>
          <w:rFonts w:hint="eastAsia" w:ascii="仿宋" w:hAnsi="仿宋" w:eastAsia="仿宋"/>
          <w:bCs/>
          <w:sz w:val="32"/>
          <w:szCs w:val="32"/>
          <w:highlight w:val="none"/>
          <w:lang w:val="en-US" w:eastAsia="zh-CN"/>
        </w:rPr>
        <w:t>57.17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亿元、专项债务余额</w:t>
      </w:r>
      <w:r>
        <w:rPr>
          <w:rFonts w:hint="eastAsia" w:ascii="仿宋" w:hAnsi="仿宋" w:eastAsia="仿宋"/>
          <w:bCs/>
          <w:sz w:val="32"/>
          <w:szCs w:val="32"/>
          <w:highlight w:val="none"/>
          <w:lang w:val="en-US" w:eastAsia="zh-CN"/>
        </w:rPr>
        <w:t>56.46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 xml:space="preserve">亿元。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年县本级需偿还地方政府专项债券本息共计2.</w:t>
      </w:r>
      <w:r>
        <w:rPr>
          <w:rFonts w:hint="eastAsia" w:ascii="仿宋" w:hAnsi="仿宋" w:eastAsia="仿宋"/>
          <w:bCs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亿元，其中：债券本金</w:t>
      </w:r>
      <w:r>
        <w:rPr>
          <w:rFonts w:hint="eastAsia" w:ascii="仿宋" w:hAnsi="仿宋" w:eastAsia="仿宋"/>
          <w:bCs/>
          <w:sz w:val="32"/>
          <w:szCs w:val="32"/>
          <w:highlight w:val="none"/>
          <w:lang w:val="en-US" w:eastAsia="zh-CN"/>
        </w:rPr>
        <w:t>0.47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亿元、债券利息</w:t>
      </w:r>
      <w:r>
        <w:rPr>
          <w:rFonts w:hint="eastAsia" w:ascii="仿宋" w:hAnsi="仿宋" w:eastAsia="仿宋"/>
          <w:bCs/>
          <w:sz w:val="32"/>
          <w:szCs w:val="32"/>
          <w:highlight w:val="none"/>
          <w:lang w:val="en-US" w:eastAsia="zh-CN"/>
        </w:rPr>
        <w:t>1.78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三、财政转移支付预算安排情况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楷体" w:hAnsi="楷体" w:eastAsia="楷体"/>
          <w:bCs/>
          <w:sz w:val="32"/>
          <w:szCs w:val="32"/>
          <w:highlight w:val="none"/>
        </w:rPr>
        <w:t>（一）一般公共预算转移支付</w:t>
      </w:r>
      <w:r>
        <w:rPr>
          <w:rFonts w:hint="eastAsia" w:ascii="楷体" w:hAnsi="楷体" w:eastAsia="楷体"/>
          <w:bCs/>
          <w:sz w:val="32"/>
          <w:szCs w:val="32"/>
          <w:highlight w:val="none"/>
          <w:lang w:val="en-US" w:eastAsia="zh-CN"/>
        </w:rPr>
        <w:t>108054</w:t>
      </w:r>
      <w:r>
        <w:rPr>
          <w:rFonts w:hint="eastAsia" w:ascii="楷体" w:hAnsi="楷体" w:eastAsia="楷体"/>
          <w:bCs/>
          <w:sz w:val="32"/>
          <w:szCs w:val="32"/>
          <w:highlight w:val="none"/>
        </w:rPr>
        <w:t>万元。</w:t>
      </w:r>
      <w:r>
        <w:rPr>
          <w:rFonts w:hint="eastAsia" w:ascii="仿宋_GB2312" w:eastAsia="仿宋_GB2312"/>
          <w:sz w:val="32"/>
          <w:szCs w:val="32"/>
          <w:highlight w:val="none"/>
        </w:rPr>
        <w:t>其中：税收返还收入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4341</w:t>
      </w:r>
      <w:r>
        <w:rPr>
          <w:rFonts w:hint="eastAsia" w:ascii="仿宋_GB2312" w:eastAsia="仿宋_GB2312"/>
          <w:sz w:val="32"/>
          <w:szCs w:val="32"/>
          <w:highlight w:val="none"/>
        </w:rPr>
        <w:t>万元、一般性转移支付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108054</w:t>
      </w:r>
      <w:r>
        <w:rPr>
          <w:rFonts w:hint="eastAsia" w:ascii="仿宋_GB2312" w:eastAsia="仿宋_GB2312"/>
          <w:sz w:val="32"/>
          <w:szCs w:val="32"/>
          <w:highlight w:val="none"/>
        </w:rPr>
        <w:t>万元、专项转移支付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3065</w:t>
      </w:r>
      <w:r>
        <w:rPr>
          <w:rFonts w:hint="eastAsia" w:ascii="仿宋_GB2312" w:eastAsia="仿宋_GB2312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" w:hAnsi="楷体" w:eastAsia="楷体"/>
          <w:bCs/>
          <w:sz w:val="32"/>
          <w:szCs w:val="32"/>
          <w:highlight w:val="none"/>
        </w:rPr>
      </w:pPr>
      <w:r>
        <w:rPr>
          <w:rFonts w:hint="eastAsia" w:ascii="楷体" w:hAnsi="楷体" w:eastAsia="楷体"/>
          <w:bCs/>
          <w:sz w:val="32"/>
          <w:szCs w:val="32"/>
          <w:highlight w:val="none"/>
        </w:rPr>
        <w:t>（二）政府性基金预算转移支付</w:t>
      </w:r>
      <w:r>
        <w:rPr>
          <w:rFonts w:hint="eastAsia" w:ascii="楷体" w:hAnsi="楷体" w:eastAsia="楷体"/>
          <w:bCs/>
          <w:sz w:val="32"/>
          <w:szCs w:val="32"/>
          <w:highlight w:val="none"/>
          <w:lang w:val="en-US" w:eastAsia="zh-CN"/>
        </w:rPr>
        <w:t>53</w:t>
      </w:r>
      <w:r>
        <w:rPr>
          <w:rFonts w:hint="eastAsia" w:ascii="楷体" w:hAnsi="楷体" w:eastAsia="楷体"/>
          <w:bCs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楷体" w:hAnsi="楷体" w:eastAsia="楷体"/>
          <w:bCs/>
          <w:sz w:val="32"/>
          <w:szCs w:val="32"/>
          <w:highlight w:val="none"/>
        </w:rPr>
        <w:t>（三）国有资本经营预算转移支付6万元。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四、预算绩效管理工作开展情况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" w:hAnsi="楷体" w:eastAsia="楷体"/>
          <w:bCs/>
          <w:sz w:val="32"/>
          <w:szCs w:val="32"/>
          <w:highlight w:val="none"/>
        </w:rPr>
      </w:pPr>
      <w:r>
        <w:rPr>
          <w:rFonts w:hint="eastAsia" w:ascii="楷体" w:hAnsi="楷体" w:eastAsia="楷体"/>
          <w:bCs/>
          <w:sz w:val="32"/>
          <w:szCs w:val="32"/>
          <w:highlight w:val="none"/>
        </w:rPr>
        <w:t>1.制度建设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2018年以来，我局进一步强化、完善预算绩效管理制度体系。印发了《高阳县财政局全面实施预算绩效管理推进工作方案》（高财预〔2019〕21号）、《高阳县财政局县级部门预算项目绩效自评管理办法》（高财监〔2020〕6号）、《高阳县财政局县级预算绩效重点评价管理办法》（高财监〔2020〕7号）、《高阳县财政局县级部门预算绩效管理工作考核办法》（高财预〔2021〕307号）、《高阳县县级部门委托第三方机构参与预算绩效管理办法》、《高阳县财政局财政支出预算绩效管理内部工作规程》（高财预〔2022〕28号）、《高阳县财政局关于预算项目事前绩效评估全覆盖的通知》（高财预〔2022〕27号）、高阳县财政局关于《县级部门项目支出核心绩效目标和指标设置及取值指引（试行）》（高财预〔2022〕24号）、高阳县财政局《关于制定分行业分领域绩效指标和标准体系的通知》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《高阳县预算绩效目标设定规范管理办法》（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高财稽查</w:t>
      </w:r>
      <w:r>
        <w:rPr>
          <w:rFonts w:hint="eastAsia" w:ascii="仿宋_GB2312" w:eastAsia="仿宋_GB2312"/>
          <w:sz w:val="32"/>
          <w:szCs w:val="32"/>
          <w:highlight w:val="none"/>
        </w:rPr>
        <w:t>〔202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〕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17号）</w:t>
      </w:r>
      <w:r>
        <w:rPr>
          <w:rFonts w:hint="eastAsia" w:ascii="仿宋_GB2312" w:eastAsia="仿宋_GB2312"/>
          <w:sz w:val="32"/>
          <w:szCs w:val="32"/>
          <w:highlight w:val="none"/>
        </w:rPr>
        <w:t>等一系列文件，使我县预算绩效管理工作更加具体、丰富。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bCs/>
          <w:sz w:val="32"/>
          <w:szCs w:val="32"/>
          <w:highlight w:val="none"/>
        </w:rPr>
        <w:t>2、</w:t>
      </w:r>
      <w:r>
        <w:rPr>
          <w:rFonts w:hint="eastAsia" w:ascii="楷体" w:hAnsi="楷体" w:eastAsia="楷体"/>
          <w:bCs/>
          <w:sz w:val="32"/>
          <w:szCs w:val="32"/>
          <w:highlight w:val="none"/>
          <w:lang w:val="en-US" w:eastAsia="zh-CN"/>
        </w:rPr>
        <w:t>重点绩效评价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印发了《高阳县财政局关于2025年县级财政重点绩效评价计划的通知》（高财稽查〔2025〕30号），根据2025年县级财政重点绩效评价计划，财政抽出专人，同时聘请第三方对高阳县2024年11个财政重点项目进行了绩效评价，共涉及9个单位。形成了财政重点绩效评价报告。根据评价结果，10个项目评价为“优”，1个评价为“良”。共涉及资金53738.96万元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五、重大政策和重点项目等绩效目标</w:t>
      </w:r>
    </w:p>
    <w:p>
      <w:pPr>
        <w:ind w:firstLine="560"/>
        <w:outlineLvl w:val="3"/>
      </w:pPr>
      <w:r>
        <w:rPr>
          <w:rFonts w:ascii="方正仿宋_GBK" w:hAnsi="方正仿宋_GBK" w:eastAsia="方正仿宋_GBK" w:cs="方正仿宋_GBK"/>
          <w:color w:val="000000"/>
          <w:sz w:val="28"/>
        </w:rPr>
        <w:t>冀财农[2024]132号-2025年超长期特别国债[潴龙河治理工程（高阳段）]绩效目标表</w:t>
      </w:r>
    </w:p>
    <w:tbl>
      <w:tblPr>
        <w:tblStyle w:val="6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5"/>
            </w:pP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6"/>
            </w:pPr>
            <w:r>
              <w:t>13062825P000518100033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6"/>
            </w:pPr>
            <w:r>
              <w:t>冀财农[2024]132号-2025年超长期特别国债[潴龙河治理工程（高阳段）]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7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3099.00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6"/>
            </w:pPr>
            <w:r>
              <w:t>3099.00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6"/>
            </w:pPr>
            <w:r>
              <w:t>用于潴龙河治理工程（高阳段）土建工程、监理费、勘察设计费及管理费等支出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7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7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7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7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7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8"/>
            </w:pPr>
            <w:r>
              <w:t>168.00</w:t>
            </w:r>
          </w:p>
        </w:tc>
        <w:tc>
          <w:tcPr>
            <w:tcW w:w="1587" w:type="dxa"/>
            <w:vAlign w:val="center"/>
          </w:tcPr>
          <w:p>
            <w:pPr>
              <w:pStyle w:val="18"/>
            </w:pPr>
            <w:r>
              <w:t>1145.00</w:t>
            </w:r>
          </w:p>
        </w:tc>
        <w:tc>
          <w:tcPr>
            <w:tcW w:w="1304" w:type="dxa"/>
            <w:vAlign w:val="center"/>
          </w:tcPr>
          <w:p>
            <w:pPr>
              <w:pStyle w:val="18"/>
            </w:pPr>
            <w:r>
              <w:t>2122.00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8"/>
            </w:pPr>
            <w:r>
              <w:t>3099.00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6"/>
            </w:pPr>
            <w:r>
              <w:t>1.建设监测和信息化系统，初步探索数字孪生流域建设，提高河道现代化数字化管理能力。</w:t>
            </w:r>
          </w:p>
          <w:p>
            <w:pPr>
              <w:pStyle w:val="16"/>
            </w:pPr>
            <w:r>
              <w:t>2.通过此项目提高河道行洪能力，加固险工，保护堤防安全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6"/>
        <w:tblW w:w="989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7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7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7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7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河流治理（修复）长度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</w:pPr>
            <w:r>
              <w:t>反映河流治理（修复）长度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≥16.5公里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t>潴龙河治理工程（高阳县段）初步设计报告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岸坡（堤防）防护长度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</w:pPr>
            <w:r>
              <w:t>反映岸坡防护、堤防、边坡长度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≥26.9公里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t>潴龙河治理工程（高阳县段）初步设计报告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修建、修复和改造</w:t>
            </w:r>
          </w:p>
          <w:p>
            <w:pPr>
              <w:pStyle w:val="16"/>
            </w:pPr>
            <w:r>
              <w:t>水利工程设施（建筑物）数量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</w:pPr>
            <w:r>
              <w:t>包括农桥、闸涵、挡坝、蓄水堰、拦沙坎、透水桩、水文站、水准点、地下水监测站、水电站、水厂、防汛物资仓库、水渗场修复视频监控设施等建筑物</w:t>
            </w:r>
          </w:p>
          <w:p>
            <w:pPr>
              <w:pStyle w:val="16"/>
            </w:pPr>
            <w:r>
              <w:t>（单独实施项目）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≥2座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t>潴龙河治理工程（高阳县段）初步设计报告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已建工程合格率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</w:pPr>
            <w:r>
              <w:t>反映已经工程合格率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100％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t>潴龙河治理工程（高阳县段）初步设计报告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已建工程是否存在质量问题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</w:pPr>
            <w:r>
              <w:t>反映已建工程是否存在质量问题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否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t>潴龙河治理工程（高阳县段）初步设计报告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截至2026年底，国债资金支付完成率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</w:pPr>
            <w:r>
              <w:t>截至2026年底，国债资金支付完成率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100％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t>潴龙河治理工程（高阳县段）初步设计报告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工程按时完成率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</w:pPr>
            <w:r>
              <w:t>反映是否按照批复方案按时完工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100％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t>潴龙河治理工程（高阳县段）初步设计报告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工程建设成本（含配套资金）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</w:pPr>
            <w:r>
              <w:t>反映工程建设成本情况（按照初设批复或概算批复金额）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≤83980万元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t>潴龙河治理工程（高阳县段）初步设计报告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可持续使用时间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</w:pPr>
            <w:r>
              <w:t>反映工程建成后正常使用年限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≥50年</w:t>
            </w:r>
          </w:p>
          <w:p>
            <w:pPr>
              <w:pStyle w:val="16"/>
            </w:pP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t>潴龙河治理工程（高阳县段）初步设计报告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已建工程是否良性运行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</w:pPr>
            <w:r>
              <w:t>反映已建工程是否良性运行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t>潴龙河治理工程（高阳县段）初步设计报告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通过问卷调查受益群体满意度</w:t>
            </w:r>
          </w:p>
        </w:tc>
        <w:tc>
          <w:tcPr>
            <w:tcW w:w="2891" w:type="dxa"/>
            <w:vAlign w:val="center"/>
          </w:tcPr>
          <w:p>
            <w:pPr>
              <w:pStyle w:val="16"/>
            </w:pPr>
            <w:r>
              <w:t>受益群体满意度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≥90%</w:t>
            </w:r>
          </w:p>
          <w:p>
            <w:pPr>
              <w:pStyle w:val="16"/>
            </w:pPr>
          </w:p>
        </w:tc>
        <w:tc>
          <w:tcPr>
            <w:tcW w:w="1843" w:type="dxa"/>
            <w:vAlign w:val="center"/>
          </w:tcPr>
          <w:p>
            <w:pPr>
              <w:pStyle w:val="16"/>
            </w:pPr>
            <w:r>
              <w:t>潴龙河治理工程（高阳县段）初步设计报告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highlight w:val="none"/>
        </w:rPr>
        <w:t>六、政府采购预算安排情况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年县本级政府采购预算项目资金安排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11575</w:t>
      </w:r>
      <w:r>
        <w:rPr>
          <w:rFonts w:hint="eastAsia" w:ascii="仿宋_GB2312" w:eastAsia="仿宋_GB2312"/>
          <w:sz w:val="32"/>
          <w:szCs w:val="32"/>
          <w:highlight w:val="none"/>
        </w:rPr>
        <w:t>万元，按采购类别分：货物类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4617</w:t>
      </w:r>
      <w:r>
        <w:rPr>
          <w:rFonts w:hint="eastAsia" w:ascii="仿宋_GB2312" w:eastAsia="仿宋_GB2312"/>
          <w:sz w:val="32"/>
          <w:szCs w:val="32"/>
          <w:highlight w:val="none"/>
        </w:rPr>
        <w:t>万元、工程类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4165</w:t>
      </w:r>
      <w:r>
        <w:rPr>
          <w:rFonts w:hint="eastAsia" w:ascii="仿宋_GB2312" w:eastAsia="仿宋_GB2312"/>
          <w:sz w:val="32"/>
          <w:szCs w:val="32"/>
          <w:highlight w:val="none"/>
        </w:rPr>
        <w:t>万元、服务类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2793</w:t>
      </w:r>
      <w:r>
        <w:rPr>
          <w:rFonts w:hint="eastAsia" w:ascii="仿宋_GB2312" w:eastAsia="仿宋_GB2312"/>
          <w:sz w:val="32"/>
          <w:szCs w:val="32"/>
          <w:highlight w:val="none"/>
        </w:rPr>
        <w:t>万元；按资金来源性质分：一般公共预算拨款安排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9017</w:t>
      </w:r>
      <w:r>
        <w:rPr>
          <w:rFonts w:hint="eastAsia" w:ascii="仿宋_GB2312" w:eastAsia="仿宋_GB2312"/>
          <w:sz w:val="32"/>
          <w:szCs w:val="32"/>
          <w:highlight w:val="none"/>
        </w:rPr>
        <w:t>万元、政府性基金预算拨款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2558</w:t>
      </w:r>
      <w:r>
        <w:rPr>
          <w:rFonts w:hint="eastAsia" w:ascii="仿宋_GB2312" w:eastAsia="仿宋_GB2312"/>
          <w:sz w:val="32"/>
          <w:szCs w:val="32"/>
          <w:highlight w:val="none"/>
        </w:rPr>
        <w:t>万元。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Kai-Z03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roman"/>
    <w:pitch w:val="default"/>
    <w:sig w:usb0="00000000" w:usb1="00000000" w:usb2="00000000" w:usb3="00000000" w:csb0="00000000" w:csb1="00000000"/>
  </w:font>
  <w:font w:name="FZXiaoBiaoSong-B05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355044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0CE6"/>
    <w:rsid w:val="00072F73"/>
    <w:rsid w:val="00073ADE"/>
    <w:rsid w:val="00075629"/>
    <w:rsid w:val="00097E6A"/>
    <w:rsid w:val="000A55B6"/>
    <w:rsid w:val="001942E9"/>
    <w:rsid w:val="001B05F4"/>
    <w:rsid w:val="001C294A"/>
    <w:rsid w:val="001E2D91"/>
    <w:rsid w:val="002401CC"/>
    <w:rsid w:val="002716DC"/>
    <w:rsid w:val="002A407C"/>
    <w:rsid w:val="00336285"/>
    <w:rsid w:val="00343378"/>
    <w:rsid w:val="0038122E"/>
    <w:rsid w:val="00394B9A"/>
    <w:rsid w:val="003961EF"/>
    <w:rsid w:val="0039653B"/>
    <w:rsid w:val="00397AC4"/>
    <w:rsid w:val="003C07C1"/>
    <w:rsid w:val="003F7057"/>
    <w:rsid w:val="004B6128"/>
    <w:rsid w:val="004C546E"/>
    <w:rsid w:val="004F1571"/>
    <w:rsid w:val="004F6D5F"/>
    <w:rsid w:val="00556EB3"/>
    <w:rsid w:val="00606378"/>
    <w:rsid w:val="00624F71"/>
    <w:rsid w:val="00634936"/>
    <w:rsid w:val="00661048"/>
    <w:rsid w:val="00671366"/>
    <w:rsid w:val="006D03BD"/>
    <w:rsid w:val="00700CE6"/>
    <w:rsid w:val="007365FC"/>
    <w:rsid w:val="007518F7"/>
    <w:rsid w:val="00754297"/>
    <w:rsid w:val="00784FBD"/>
    <w:rsid w:val="007A2334"/>
    <w:rsid w:val="007D714B"/>
    <w:rsid w:val="007F6A92"/>
    <w:rsid w:val="008446DA"/>
    <w:rsid w:val="00844F0F"/>
    <w:rsid w:val="00851B92"/>
    <w:rsid w:val="008546C5"/>
    <w:rsid w:val="00882EE3"/>
    <w:rsid w:val="00946B3E"/>
    <w:rsid w:val="00950EBD"/>
    <w:rsid w:val="0098782A"/>
    <w:rsid w:val="009B0343"/>
    <w:rsid w:val="009C4F9F"/>
    <w:rsid w:val="009D4A1C"/>
    <w:rsid w:val="009E17F1"/>
    <w:rsid w:val="00A022A3"/>
    <w:rsid w:val="00A22F65"/>
    <w:rsid w:val="00A347E4"/>
    <w:rsid w:val="00A43C73"/>
    <w:rsid w:val="00A4470F"/>
    <w:rsid w:val="00AA7D9F"/>
    <w:rsid w:val="00AB6F1D"/>
    <w:rsid w:val="00AC3020"/>
    <w:rsid w:val="00AE1EDA"/>
    <w:rsid w:val="00B47305"/>
    <w:rsid w:val="00BB58A5"/>
    <w:rsid w:val="00BD09EB"/>
    <w:rsid w:val="00BF2ED7"/>
    <w:rsid w:val="00C21571"/>
    <w:rsid w:val="00C3381C"/>
    <w:rsid w:val="00C41FD6"/>
    <w:rsid w:val="00C479E4"/>
    <w:rsid w:val="00CC6BA7"/>
    <w:rsid w:val="00D344E2"/>
    <w:rsid w:val="00D467FA"/>
    <w:rsid w:val="00D72AD5"/>
    <w:rsid w:val="00DD388F"/>
    <w:rsid w:val="00DF232E"/>
    <w:rsid w:val="00DF5686"/>
    <w:rsid w:val="00E02B21"/>
    <w:rsid w:val="00E174A1"/>
    <w:rsid w:val="00E7402E"/>
    <w:rsid w:val="00EE2BB7"/>
    <w:rsid w:val="00EE5A61"/>
    <w:rsid w:val="00F06D21"/>
    <w:rsid w:val="00F5048F"/>
    <w:rsid w:val="00F93534"/>
    <w:rsid w:val="00FD142A"/>
    <w:rsid w:val="0B1C73AD"/>
    <w:rsid w:val="1AEB57C2"/>
    <w:rsid w:val="267E1163"/>
    <w:rsid w:val="29D143F4"/>
    <w:rsid w:val="2A81145D"/>
    <w:rsid w:val="2ABA158D"/>
    <w:rsid w:val="2C3467C8"/>
    <w:rsid w:val="30DD28E8"/>
    <w:rsid w:val="31D55840"/>
    <w:rsid w:val="3B673252"/>
    <w:rsid w:val="3DC52023"/>
    <w:rsid w:val="3F826F92"/>
    <w:rsid w:val="52377D5B"/>
    <w:rsid w:val="58F66C8C"/>
    <w:rsid w:val="59A04F92"/>
    <w:rsid w:val="626A5D59"/>
    <w:rsid w:val="6E284015"/>
    <w:rsid w:val="72691B27"/>
    <w:rsid w:val="76BC502A"/>
    <w:rsid w:val="7AD3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  <w:rPr>
      <w:rFonts w:asciiTheme="minorHAnsi" w:hAnsiTheme="minorHAnsi" w:eastAsiaTheme="minorEastAsia" w:cstheme="minorBidi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  <w:iCs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Kai-Z03" w:eastAsia="FZKai-Z03" w:cs="FZKai-Z03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批注框文本 Char"/>
    <w:basedOn w:val="8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单元格样式4"/>
    <w:basedOn w:val="1"/>
    <w:qFormat/>
    <w:uiPriority w:val="0"/>
    <w:pPr>
      <w:widowControl/>
      <w:jc w:val="right"/>
    </w:pPr>
    <w:rPr>
      <w:rFonts w:ascii="方正书宋_GBK" w:hAnsi="方正书宋_GBK" w:eastAsia="方正书宋_GBK" w:cs="方正书宋_GBK"/>
      <w:kern w:val="0"/>
      <w:lang w:eastAsia="uk-UA"/>
    </w:rPr>
  </w:style>
  <w:style w:type="paragraph" w:customStyle="1" w:styleId="15">
    <w:name w:val="单元格样式5"/>
    <w:basedOn w:val="1"/>
    <w:qFormat/>
    <w:uiPriority w:val="0"/>
    <w:pPr>
      <w:widowControl/>
      <w:jc w:val="left"/>
    </w:pPr>
    <w:rPr>
      <w:rFonts w:ascii="方正书宋_GBK" w:hAnsi="方正书宋_GBK" w:eastAsia="方正书宋_GBK" w:cs="方正书宋_GBK"/>
      <w:b/>
      <w:kern w:val="0"/>
      <w:lang w:eastAsia="uk-UA"/>
    </w:rPr>
  </w:style>
  <w:style w:type="paragraph" w:customStyle="1" w:styleId="16">
    <w:name w:val="单元格样式2"/>
    <w:basedOn w:val="1"/>
    <w:qFormat/>
    <w:uiPriority w:val="0"/>
    <w:pPr>
      <w:widowControl/>
      <w:jc w:val="left"/>
    </w:pPr>
    <w:rPr>
      <w:rFonts w:ascii="方正书宋_GBK" w:hAnsi="方正书宋_GBK" w:eastAsia="方正书宋_GBK" w:cs="方正书宋_GBK"/>
      <w:kern w:val="0"/>
      <w:lang w:eastAsia="uk-UA"/>
    </w:rPr>
  </w:style>
  <w:style w:type="paragraph" w:customStyle="1" w:styleId="17">
    <w:name w:val="单元格样式1"/>
    <w:basedOn w:val="1"/>
    <w:qFormat/>
    <w:uiPriority w:val="0"/>
    <w:pPr>
      <w:widowControl/>
      <w:jc w:val="center"/>
    </w:pPr>
    <w:rPr>
      <w:rFonts w:ascii="方正书宋_GBK" w:hAnsi="方正书宋_GBK" w:eastAsia="方正书宋_GBK" w:cs="方正书宋_GBK"/>
      <w:b/>
      <w:kern w:val="0"/>
      <w:lang w:eastAsia="uk-UA"/>
    </w:rPr>
  </w:style>
  <w:style w:type="paragraph" w:customStyle="1" w:styleId="18">
    <w:name w:val="单元格样式3"/>
    <w:basedOn w:val="1"/>
    <w:qFormat/>
    <w:uiPriority w:val="0"/>
    <w:pPr>
      <w:widowControl/>
      <w:jc w:val="center"/>
    </w:pPr>
    <w:rPr>
      <w:rFonts w:ascii="方正书宋_GBK" w:hAnsi="方正书宋_GBK" w:eastAsia="方正书宋_GBK" w:cs="方正书宋_GBK"/>
      <w:kern w:val="0"/>
      <w:lang w:eastAsia="uk-UA"/>
    </w:rPr>
  </w:style>
  <w:style w:type="table" w:customStyle="1" w:styleId="19">
    <w:name w:val="网格型1"/>
    <w:basedOn w:val="6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733</Words>
  <Characters>4183</Characters>
  <Lines>34</Lines>
  <Paragraphs>9</Paragraphs>
  <TotalTime>321</TotalTime>
  <ScaleCrop>false</ScaleCrop>
  <LinksUpToDate>false</LinksUpToDate>
  <CharactersWithSpaces>4907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2022-02-09T09:39:00Z</dcterms:created>
  <dc:creator>user</dc:creator>
  <cp:lastModifiedBy>Lenovo</cp:lastModifiedBy>
  <cp:lastPrinted>2022-03-07T06:28:00Z</cp:lastPrinted>
  <dcterms:modified xsi:type="dcterms:W3CDTF">2026-03-17T02:46:34Z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