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2026年部门预算信息公开目录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spacing w:before="0" w:after="0" w:line="240" w:lineRule="auto"/>
        <w:ind w:firstLine="0"/>
        <w:jc w:val="left"/>
        <w:outlineLvl w:val="9"/>
      </w:pPr>
      <w:r>
        <w:rPr>
          <w:rFonts w:ascii="方正楷体_GBK" w:eastAsia="方正楷体_GBK" w:hAnsi="方正楷体_GBK" w:cs="方正楷体_GBK"/>
          <w:b/>
          <w:color w:val="000000"/>
          <w:sz w:val="28"/>
        </w:rPr>
        <w:t xml:space="preserve">部门预算公开表</w:t>
      </w:r>
    </w:p>
    <w:p>
      <w:pPr>
        <w:pStyle w:val="TOC1"/>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 xml:space="preserve">部门预算收支总表</w:t>
      </w:r>
      <w:r>
        <w:tab/>
      </w:r>
      <w:r>
        <w:fldChar w:fldCharType="begin"/>
      </w:r>
      <w:r>
        <w:instrText xml:space="preserve">PAGEREF _Toc_2_2_0000000001 \h</w:instrText>
      </w:r>
      <w:r>
        <w:fldChar w:fldCharType="separate"/>
      </w:r>
      <w:r>
        <w:t xml:space="preserve">1</w:t>
      </w:r>
      <w:r>
        <w:fldChar w:fldCharType="end"/>
      </w:r>
      <w:r>
        <w:fldChar w:fldCharType="end"/>
      </w:r>
    </w:p>
    <w:p>
      <w:pPr>
        <w:pStyle w:val="TOC1"/>
        <w:tabs>
          <w:tab w:val="right" w:leader="dot" w:pos="14562"/>
        </w:tabs>
      </w:pPr>
      <w:r>
        <w:fldChar w:fldCharType="begin"/>
      </w:r>
      <w:r>
        <w:instrText xml:space="preserve">HYPERLINK \l _Toc_2_2_0000000002</w:instrText>
      </w:r>
      <w:r>
        <w:fldChar w:fldCharType="separate"/>
      </w:r>
      <w:r>
        <w:t xml:space="preserve">部门预算收入总表</w:t>
      </w:r>
      <w:r>
        <w:tab/>
      </w:r>
      <w:r>
        <w:fldChar w:fldCharType="begin"/>
      </w:r>
      <w:r>
        <w:instrText xml:space="preserve">PAGEREF _Toc_2_2_0000000002 \h</w:instrText>
      </w:r>
      <w:r>
        <w:fldChar w:fldCharType="separate"/>
      </w:r>
      <w:r>
        <w:t xml:space="preserve">3</w:t>
      </w:r>
      <w:r>
        <w:fldChar w:fldCharType="end"/>
      </w:r>
      <w:r>
        <w:fldChar w:fldCharType="end"/>
      </w:r>
    </w:p>
    <w:p>
      <w:pPr>
        <w:pStyle w:val="TOC1"/>
        <w:tabs>
          <w:tab w:val="right" w:leader="dot" w:pos="14562"/>
        </w:tabs>
      </w:pPr>
      <w:r>
        <w:fldChar w:fldCharType="begin"/>
      </w:r>
      <w:r>
        <w:instrText xml:space="preserve">HYPERLINK \l _Toc_2_2_0000000003</w:instrText>
      </w:r>
      <w:r>
        <w:fldChar w:fldCharType="separate"/>
      </w:r>
      <w:r>
        <w:t xml:space="preserve">部门预算支出总表</w:t>
      </w:r>
      <w:r>
        <w:tab/>
      </w:r>
      <w:r>
        <w:fldChar w:fldCharType="begin"/>
      </w:r>
      <w:r>
        <w:instrText xml:space="preserve">PAGEREF _Toc_2_2_0000000003 \h</w:instrText>
      </w:r>
      <w:r>
        <w:fldChar w:fldCharType="separate"/>
      </w:r>
      <w:r>
        <w:t xml:space="preserve">4</w:t>
      </w:r>
      <w:r>
        <w:fldChar w:fldCharType="end"/>
      </w:r>
      <w:r>
        <w:fldChar w:fldCharType="end"/>
      </w:r>
    </w:p>
    <w:p>
      <w:pPr>
        <w:pStyle w:val="TOC1"/>
        <w:tabs>
          <w:tab w:val="right" w:leader="dot" w:pos="14562"/>
        </w:tabs>
      </w:pPr>
      <w:r>
        <w:fldChar w:fldCharType="begin"/>
      </w:r>
      <w:r>
        <w:instrText xml:space="preserve">HYPERLINK \l _Toc_2_2_0000000004</w:instrText>
      </w:r>
      <w:r>
        <w:fldChar w:fldCharType="separate"/>
      </w:r>
      <w:r>
        <w:t xml:space="preserve">部门预算财政拨款收支总表</w:t>
      </w:r>
      <w:r>
        <w:tab/>
      </w:r>
      <w:r>
        <w:fldChar w:fldCharType="begin"/>
      </w:r>
      <w:r>
        <w:instrText xml:space="preserve">PAGEREF _Toc_2_2_0000000004 \h</w:instrText>
      </w:r>
      <w:r>
        <w:fldChar w:fldCharType="separate"/>
      </w:r>
      <w:r>
        <w:t xml:space="preserve">5</w:t>
      </w:r>
      <w:r>
        <w:fldChar w:fldCharType="end"/>
      </w:r>
      <w:r>
        <w:fldChar w:fldCharType="end"/>
      </w:r>
    </w:p>
    <w:p>
      <w:pPr>
        <w:pStyle w:val="TOC1"/>
        <w:tabs>
          <w:tab w:val="right" w:leader="dot" w:pos="14562"/>
        </w:tabs>
      </w:pPr>
      <w:r>
        <w:fldChar w:fldCharType="begin"/>
      </w:r>
      <w:r>
        <w:instrText xml:space="preserve">HYPERLINK \l _Toc_2_2_0000000005</w:instrText>
      </w:r>
      <w:r>
        <w:fldChar w:fldCharType="separate"/>
      </w:r>
      <w:r>
        <w:t xml:space="preserve">部门预算一般公共预算财政拨款支出表</w:t>
      </w:r>
      <w:r>
        <w:tab/>
      </w:r>
      <w:r>
        <w:fldChar w:fldCharType="begin"/>
      </w:r>
      <w:r>
        <w:instrText xml:space="preserve">PAGEREF _Toc_2_2_0000000005 \h</w:instrText>
      </w:r>
      <w:r>
        <w:fldChar w:fldCharType="separate"/>
      </w:r>
      <w:r>
        <w:t xml:space="preserve">8</w:t>
      </w:r>
      <w:r>
        <w:fldChar w:fldCharType="end"/>
      </w:r>
      <w:r>
        <w:fldChar w:fldCharType="end"/>
      </w:r>
    </w:p>
    <w:p>
      <w:pPr>
        <w:pStyle w:val="TOC1"/>
        <w:tabs>
          <w:tab w:val="right" w:leader="dot" w:pos="14562"/>
        </w:tabs>
      </w:pPr>
      <w:r>
        <w:fldChar w:fldCharType="begin"/>
      </w:r>
      <w:r>
        <w:instrText xml:space="preserve">HYPERLINK \l _Toc_2_2_0000000006</w:instrText>
      </w:r>
      <w:r>
        <w:fldChar w:fldCharType="separate"/>
      </w:r>
      <w:r>
        <w:t xml:space="preserve">部门预算一般公共预算财政拨款基本支出表</w:t>
      </w:r>
      <w:r>
        <w:tab/>
      </w:r>
      <w:r>
        <w:fldChar w:fldCharType="begin"/>
      </w:r>
      <w:r>
        <w:instrText xml:space="preserve">PAGEREF _Toc_2_2_0000000006 \h</w:instrText>
      </w:r>
      <w:r>
        <w:fldChar w:fldCharType="separate"/>
      </w:r>
      <w:r>
        <w:t xml:space="preserve">9</w:t>
      </w:r>
      <w:r>
        <w:fldChar w:fldCharType="end"/>
      </w:r>
      <w:r>
        <w:fldChar w:fldCharType="end"/>
      </w:r>
    </w:p>
    <w:p>
      <w:pPr>
        <w:pStyle w:val="TOC1"/>
        <w:tabs>
          <w:tab w:val="right" w:leader="dot" w:pos="14562"/>
        </w:tabs>
      </w:pPr>
      <w:r>
        <w:fldChar w:fldCharType="begin"/>
      </w:r>
      <w:r>
        <w:instrText xml:space="preserve">HYPERLINK \l _Toc_2_2_0000000007</w:instrText>
      </w:r>
      <w:r>
        <w:fldChar w:fldCharType="separate"/>
      </w:r>
      <w:r>
        <w:t xml:space="preserve">部门预算政府性基金预算财政拨款支出表</w:t>
      </w:r>
      <w:r>
        <w:tab/>
      </w:r>
      <w:r>
        <w:fldChar w:fldCharType="begin"/>
      </w:r>
      <w:r>
        <w:instrText xml:space="preserve">PAGEREF _Toc_2_2_0000000007 \h</w:instrText>
      </w:r>
      <w:r>
        <w:fldChar w:fldCharType="separate"/>
      </w:r>
      <w:r>
        <w:t xml:space="preserve">10</w:t>
      </w:r>
      <w:r>
        <w:fldChar w:fldCharType="end"/>
      </w:r>
      <w:r>
        <w:fldChar w:fldCharType="end"/>
      </w:r>
    </w:p>
    <w:p>
      <w:pPr>
        <w:pStyle w:val="TOC1"/>
        <w:tabs>
          <w:tab w:val="right" w:leader="dot" w:pos="14562"/>
        </w:tabs>
      </w:pPr>
      <w:r>
        <w:fldChar w:fldCharType="begin"/>
      </w:r>
      <w:r>
        <w:instrText xml:space="preserve">HYPERLINK \l _Toc_2_2_0000000008</w:instrText>
      </w:r>
      <w:r>
        <w:fldChar w:fldCharType="separate"/>
      </w:r>
      <w:r>
        <w:t xml:space="preserve">部门预算国有资本经营预算财政拨款支出表</w:t>
      </w:r>
      <w:r>
        <w:tab/>
      </w:r>
      <w:r>
        <w:fldChar w:fldCharType="begin"/>
      </w:r>
      <w:r>
        <w:instrText xml:space="preserve">PAGEREF _Toc_2_2_0000000008 \h</w:instrText>
      </w:r>
      <w:r>
        <w:fldChar w:fldCharType="separate"/>
      </w:r>
      <w:r>
        <w:t xml:space="preserve">11</w:t>
      </w:r>
      <w:r>
        <w:fldChar w:fldCharType="end"/>
      </w:r>
      <w:r>
        <w:fldChar w:fldCharType="end"/>
      </w:r>
    </w:p>
    <w:p>
      <w:pPr>
        <w:pStyle w:val="TOC1"/>
        <w:tabs>
          <w:tab w:val="right" w:leader="dot" w:pos="14562"/>
        </w:tabs>
      </w:pPr>
      <w:r>
        <w:fldChar w:fldCharType="begin"/>
      </w:r>
      <w:r>
        <w:instrText xml:space="preserve">HYPERLINK \l _Toc_2_2_0000000009</w:instrText>
      </w:r>
      <w:r>
        <w:fldChar w:fldCharType="separate"/>
      </w:r>
      <w:r>
        <w:t xml:space="preserve">部门预算财政拨款“三公”经费支出表</w:t>
      </w:r>
      <w:r>
        <w:tab/>
      </w:r>
      <w:r>
        <w:fldChar w:fldCharType="begin"/>
      </w:r>
      <w:r>
        <w:instrText xml:space="preserve">PAGEREF _Toc_2_2_0000000009 \h</w:instrText>
      </w:r>
      <w:r>
        <w:fldChar w:fldCharType="separate"/>
      </w:r>
      <w:r>
        <w:t xml:space="preserve">12</w:t>
      </w:r>
      <w:r>
        <w:fldChar w:fldCharType="end"/>
      </w:r>
      <w:r>
        <w:fldChar w:fldCharType="end"/>
      </w:r>
    </w:p>
    <w:p>
      <w:r>
        <w:fldChar w:fldCharType="end"/>
      </w:r>
    </w:p>
    <w:p>
      <w:pPr>
        <w:spacing w:before="0" w:after="0" w:line="240" w:lineRule="auto"/>
        <w:ind w:firstLine="0"/>
        <w:jc w:val="left"/>
        <w:outlineLvl w:val="9"/>
      </w:pPr>
      <w:r>
        <w:rPr>
          <w:rFonts w:ascii="方正楷体_GBK" w:eastAsia="方正楷体_GBK" w:hAnsi="方正楷体_GBK" w:cs="方正楷体_GBK"/>
          <w:b/>
          <w:color w:val="000000"/>
          <w:sz w:val="28"/>
        </w:rPr>
        <w:t xml:space="preserve">部门预算信息公开情况说明</w:t>
      </w:r>
    </w:p>
    <w:p>
      <w:pPr>
        <w:pStyle w:val="TOC1"/>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 xml:space="preserve">一、部门职责及机构设置情况</w:t>
      </w:r>
      <w:r>
        <w:tab/>
      </w:r>
      <w:r>
        <w:fldChar w:fldCharType="begin"/>
      </w:r>
      <w:r>
        <w:instrText xml:space="preserve">PAGEREF _Toc_3_3_0000000010 \h</w:instrText>
      </w:r>
      <w:r>
        <w:fldChar w:fldCharType="separate"/>
      </w:r>
      <w:r>
        <w:t xml:space="preserve">13</w:t>
      </w:r>
      <w:r>
        <w:fldChar w:fldCharType="end"/>
      </w:r>
      <w:r>
        <w:fldChar w:fldCharType="end"/>
      </w:r>
    </w:p>
    <w:p>
      <w:pPr>
        <w:pStyle w:val="TOC1"/>
        <w:tabs>
          <w:tab w:val="right" w:leader="dot" w:pos="14562"/>
        </w:tabs>
      </w:pPr>
      <w:r>
        <w:fldChar w:fldCharType="begin"/>
      </w:r>
      <w:r>
        <w:instrText xml:space="preserve">HYPERLINK \l _Toc_3_3_0000000011</w:instrText>
      </w:r>
      <w:r>
        <w:fldChar w:fldCharType="separate"/>
      </w:r>
      <w:r>
        <w:t xml:space="preserve">二、部门预算安排的总体情况</w:t>
      </w:r>
      <w:r>
        <w:tab/>
      </w:r>
      <w:r>
        <w:fldChar w:fldCharType="begin"/>
      </w:r>
      <w:r>
        <w:instrText xml:space="preserve">PAGEREF _Toc_3_3_0000000011 \h</w:instrText>
      </w:r>
      <w:r>
        <w:fldChar w:fldCharType="separate"/>
      </w:r>
      <w:r>
        <w:t xml:space="preserve">13</w:t>
      </w:r>
      <w:r>
        <w:fldChar w:fldCharType="end"/>
      </w:r>
      <w:r>
        <w:fldChar w:fldCharType="end"/>
      </w:r>
    </w:p>
    <w:p>
      <w:pPr>
        <w:pStyle w:val="TOC1"/>
        <w:tabs>
          <w:tab w:val="right" w:leader="dot" w:pos="14562"/>
        </w:tabs>
      </w:pPr>
      <w:r>
        <w:fldChar w:fldCharType="begin"/>
      </w:r>
      <w:r>
        <w:instrText xml:space="preserve">HYPERLINK \l _Toc_3_3_0000000012</w:instrText>
      </w:r>
      <w:r>
        <w:fldChar w:fldCharType="separate"/>
      </w:r>
      <w:r>
        <w:t xml:space="preserve">三、机关运行经费安排情况</w:t>
      </w:r>
      <w:r>
        <w:tab/>
      </w:r>
      <w:r>
        <w:fldChar w:fldCharType="begin"/>
      </w:r>
      <w:r>
        <w:instrText xml:space="preserve">PAGEREF _Toc_3_3_0000000012 \h</w:instrText>
      </w:r>
      <w:r>
        <w:fldChar w:fldCharType="separate"/>
      </w:r>
      <w:r>
        <w:t xml:space="preserve">14</w:t>
      </w:r>
      <w:r>
        <w:fldChar w:fldCharType="end"/>
      </w:r>
      <w:r>
        <w:fldChar w:fldCharType="end"/>
      </w:r>
    </w:p>
    <w:p>
      <w:pPr>
        <w:pStyle w:val="TOC1"/>
        <w:tabs>
          <w:tab w:val="right" w:leader="dot" w:pos="14562"/>
        </w:tabs>
      </w:pPr>
      <w:r>
        <w:fldChar w:fldCharType="begin"/>
      </w:r>
      <w:r>
        <w:instrText xml:space="preserve">HYPERLINK \l _Toc_3_3_0000000013</w:instrText>
      </w:r>
      <w:r>
        <w:fldChar w:fldCharType="separate"/>
      </w:r>
      <w:r>
        <w:t xml:space="preserve">四、财政拨款“三公”经费预算情况及增减变化原因</w:t>
      </w:r>
      <w:r>
        <w:tab/>
      </w:r>
      <w:r>
        <w:fldChar w:fldCharType="begin"/>
      </w:r>
      <w:r>
        <w:instrText xml:space="preserve">PAGEREF _Toc_3_3_0000000013 \h</w:instrText>
      </w:r>
      <w:r>
        <w:fldChar w:fldCharType="separate"/>
      </w:r>
      <w:r>
        <w:t xml:space="preserve">14</w:t>
      </w:r>
      <w:r>
        <w:fldChar w:fldCharType="end"/>
      </w:r>
      <w:r>
        <w:fldChar w:fldCharType="end"/>
      </w:r>
    </w:p>
    <w:p>
      <w:pPr>
        <w:pStyle w:val="TOC1"/>
        <w:tabs>
          <w:tab w:val="right" w:leader="dot" w:pos="14562"/>
        </w:tabs>
      </w:pPr>
      <w:r>
        <w:fldChar w:fldCharType="begin"/>
      </w:r>
      <w:r>
        <w:instrText xml:space="preserve">HYPERLINK \l _Toc_3_3_0000000014</w:instrText>
      </w:r>
      <w:r>
        <w:fldChar w:fldCharType="separate"/>
      </w:r>
      <w:r>
        <w:t xml:space="preserve">五、部门整体绩效目标</w:t>
      </w:r>
      <w:r>
        <w:tab/>
      </w:r>
      <w:r>
        <w:fldChar w:fldCharType="begin"/>
      </w:r>
      <w:r>
        <w:instrText xml:space="preserve">PAGEREF _Toc_3_3_0000000014 \h</w:instrText>
      </w:r>
      <w:r>
        <w:fldChar w:fldCharType="separate"/>
      </w:r>
      <w:r>
        <w:t xml:space="preserve">15</w:t>
      </w:r>
      <w:r>
        <w:fldChar w:fldCharType="end"/>
      </w:r>
      <w:r>
        <w:fldChar w:fldCharType="end"/>
      </w:r>
    </w:p>
    <w:p>
      <w:pPr>
        <w:pStyle w:val="TOC1"/>
        <w:tabs>
          <w:tab w:val="right" w:leader="dot" w:pos="14562"/>
        </w:tabs>
      </w:pPr>
      <w:r>
        <w:fldChar w:fldCharType="begin"/>
      </w:r>
      <w:r>
        <w:instrText xml:space="preserve">HYPERLINK \l _Toc_3_3_0000000015</w:instrText>
      </w:r>
      <w:r>
        <w:fldChar w:fldCharType="separate"/>
      </w:r>
      <w:r>
        <w:t xml:space="preserve">六、部门主管专项资金预算安排情况及绩效目标</w:t>
      </w:r>
      <w:r>
        <w:tab/>
      </w:r>
      <w:r>
        <w:fldChar w:fldCharType="begin"/>
      </w:r>
      <w:r>
        <w:instrText xml:space="preserve">PAGEREF _Toc_3_3_0000000015 \h</w:instrText>
      </w:r>
      <w:r>
        <w:fldChar w:fldCharType="separate"/>
      </w:r>
      <w:r>
        <w:t xml:space="preserve">16</w:t>
      </w:r>
      <w:r>
        <w:fldChar w:fldCharType="end"/>
      </w:r>
      <w:r>
        <w:fldChar w:fldCharType="end"/>
      </w:r>
    </w:p>
    <w:p>
      <w:pPr>
        <w:pStyle w:val="TOC1"/>
        <w:tabs>
          <w:tab w:val="right" w:leader="dot" w:pos="14562"/>
        </w:tabs>
      </w:pPr>
      <w:r>
        <w:fldChar w:fldCharType="begin"/>
      </w:r>
      <w:r>
        <w:instrText xml:space="preserve">HYPERLINK \l _Toc_3_3_0000000016</w:instrText>
      </w:r>
      <w:r>
        <w:fldChar w:fldCharType="separate"/>
      </w:r>
      <w:r>
        <w:t xml:space="preserve">七、部门项目预算安排情况及绩效目标</w:t>
      </w:r>
      <w:r>
        <w:tab/>
      </w:r>
      <w:r>
        <w:fldChar w:fldCharType="begin"/>
      </w:r>
      <w:r>
        <w:instrText xml:space="preserve">PAGEREF _Toc_3_3_0000000016 \h</w:instrText>
      </w:r>
      <w:r>
        <w:fldChar w:fldCharType="separate"/>
      </w:r>
      <w:r>
        <w:t xml:space="preserve">17</w:t>
      </w:r>
      <w:r>
        <w:fldChar w:fldCharType="end"/>
      </w:r>
      <w:r>
        <w:fldChar w:fldCharType="end"/>
      </w:r>
    </w:p>
    <w:p>
      <w:pPr>
        <w:pStyle w:val="TOC1"/>
        <w:tabs>
          <w:tab w:val="right" w:leader="dot" w:pos="14562"/>
        </w:tabs>
      </w:pPr>
      <w:r>
        <w:fldChar w:fldCharType="begin"/>
      </w:r>
      <w:r>
        <w:instrText xml:space="preserve">HYPERLINK \l _Toc_3_3_0000000017</w:instrText>
      </w:r>
      <w:r>
        <w:fldChar w:fldCharType="separate"/>
      </w:r>
      <w:r>
        <w:t xml:space="preserve">八、政府采购预算情况</w:t>
      </w:r>
      <w:r>
        <w:tab/>
      </w:r>
      <w:r>
        <w:fldChar w:fldCharType="begin"/>
      </w:r>
      <w:r>
        <w:instrText xml:space="preserve">PAGEREF _Toc_3_3_0000000017 \h</w:instrText>
      </w:r>
      <w:r>
        <w:fldChar w:fldCharType="separate"/>
      </w:r>
      <w:r>
        <w:t xml:space="preserve">30</w:t>
      </w:r>
      <w:r>
        <w:fldChar w:fldCharType="end"/>
      </w:r>
      <w:r>
        <w:fldChar w:fldCharType="end"/>
      </w:r>
    </w:p>
    <w:p>
      <w:pPr>
        <w:pStyle w:val="TOC1"/>
        <w:tabs>
          <w:tab w:val="right" w:leader="dot" w:pos="14562"/>
        </w:tabs>
      </w:pPr>
      <w:r>
        <w:fldChar w:fldCharType="begin"/>
      </w:r>
      <w:r>
        <w:instrText xml:space="preserve">HYPERLINK \l _Toc_3_3_0000000018</w:instrText>
      </w:r>
      <w:r>
        <w:fldChar w:fldCharType="separate"/>
      </w:r>
      <w:r>
        <w:t xml:space="preserve">九、国有资产信息</w:t>
      </w:r>
      <w:r>
        <w:tab/>
      </w:r>
      <w:r>
        <w:fldChar w:fldCharType="begin"/>
      </w:r>
      <w:r>
        <w:instrText xml:space="preserve">PAGEREF _Toc_3_3_0000000018 \h</w:instrText>
      </w:r>
      <w:r>
        <w:fldChar w:fldCharType="separate"/>
      </w:r>
      <w:r>
        <w:t xml:space="preserve">30</w:t>
      </w:r>
      <w:r>
        <w:fldChar w:fldCharType="end"/>
      </w:r>
      <w:r>
        <w:fldChar w:fldCharType="end"/>
      </w:r>
    </w:p>
    <w:p>
      <w:pPr>
        <w:pStyle w:val="TOC1"/>
        <w:tabs>
          <w:tab w:val="right" w:leader="dot" w:pos="14562"/>
        </w:tabs>
      </w:pPr>
      <w:r>
        <w:fldChar w:fldCharType="begin"/>
      </w:r>
      <w:r>
        <w:instrText xml:space="preserve">HYPERLINK \l _Toc_3_3_0000000019</w:instrText>
      </w:r>
      <w:r>
        <w:fldChar w:fldCharType="separate"/>
      </w:r>
      <w:r>
        <w:t xml:space="preserve">十、名词解释</w:t>
      </w:r>
      <w:r>
        <w:tab/>
      </w:r>
      <w:r>
        <w:fldChar w:fldCharType="begin"/>
      </w:r>
      <w:r>
        <w:instrText xml:space="preserve">PAGEREF _Toc_3_3_0000000019 \h</w:instrText>
      </w:r>
      <w:r>
        <w:fldChar w:fldCharType="separate"/>
      </w:r>
      <w:r>
        <w:t xml:space="preserve">31</w:t>
      </w:r>
      <w:r>
        <w:fldChar w:fldCharType="end"/>
      </w:r>
      <w:r>
        <w:fldChar w:fldCharType="end"/>
      </w:r>
    </w:p>
    <w:p>
      <w:pPr>
        <w:pStyle w:val="TOC1"/>
        <w:tabs>
          <w:tab w:val="right" w:leader="dot" w:pos="14562"/>
        </w:tabs>
      </w:pPr>
      <w:r>
        <w:fldChar w:fldCharType="begin"/>
      </w:r>
      <w:r>
        <w:instrText xml:space="preserve">HYPERLINK \l _Toc_3_3_0000000020</w:instrText>
      </w:r>
      <w:r>
        <w:fldChar w:fldCharType="separate"/>
      </w:r>
      <w:r>
        <w:t xml:space="preserve">十一、其他需要说明的事项</w:t>
      </w:r>
      <w:r>
        <w:tab/>
      </w:r>
      <w:r>
        <w:fldChar w:fldCharType="begin"/>
      </w:r>
      <w:r>
        <w:instrText xml:space="preserve">PAGEREF _Toc_3_3_0000000020 \h</w:instrText>
      </w:r>
      <w:r>
        <w:fldChar w:fldCharType="separate"/>
      </w:r>
      <w:r>
        <w:t xml:space="preserve">32</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eastAsia="方正小标宋_GBK" w:hAnsi="方正小标宋_GBK" w:cs="方正小标宋_GBK"/>
          <w:color w:val="000000"/>
          <w:sz w:val="36"/>
        </w:rPr>
        <w:t xml:space="preserve">部门预算收支总表</w:t>
      </w:r>
      <w:bookmarkEnd w:id="0"/>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993高阳县消防救援大队</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1790.00</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r>
              <w:t xml:space="preserve">1790.00</w:t>
            </w: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1790.00</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1790.00</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1790.00</w:t>
            </w:r>
          </w:p>
        </w:tc>
        <w:tc>
          <w:tcPr>
            <w:tcW w:w="4535" w:type="dxa"/>
            <w:vAlign w:val="center"/>
          </w:tcPr>
          <w:p>
            <w:pPr>
              <w:pStyle w:val="单元格样式6"/>
            </w:pPr>
            <w:r>
              <w:t xml:space="preserve">支出总计</w:t>
            </w:r>
          </w:p>
        </w:tc>
        <w:tc>
          <w:tcPr>
            <w:tcW w:w="2126" w:type="dxa"/>
            <w:vAlign w:val="center"/>
          </w:tcPr>
          <w:p>
            <w:pPr>
              <w:pStyle w:val="单元格样式7"/>
            </w:pPr>
            <w:r>
              <w:t xml:space="preserve">1790.00</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eastAsia="方正小标宋_GBK" w:hAnsi="方正小标宋_GBK" w:cs="方正小标宋_GBK"/>
          <w:color w:val="000000"/>
          <w:sz w:val="36"/>
        </w:rPr>
        <w:t xml:space="preserve">部门预算收入总表</w:t>
      </w:r>
      <w:bookmarkEnd w:id="1"/>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993高阳县消防救援大队</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1790.00</w:t>
            </w:r>
          </w:p>
        </w:tc>
        <w:tc>
          <w:tcPr>
            <w:tcW w:w="1134" w:type="dxa"/>
            <w:vAlign w:val="center"/>
          </w:tcPr>
          <w:p>
            <w:pPr>
              <w:pStyle w:val="单元格样式7"/>
            </w:pPr>
            <w:r>
              <w:t xml:space="preserve">1790.00</w:t>
            </w:r>
          </w:p>
        </w:tc>
        <w:tc>
          <w:tcPr>
            <w:tcW w:w="1134" w:type="dxa"/>
            <w:vAlign w:val="center"/>
          </w:tcPr>
          <w:p>
            <w:pPr>
              <w:pStyle w:val="单元格样式7"/>
            </w:pPr>
            <w:r>
              <w:t xml:space="preserve">1790.00</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224</w:t>
            </w:r>
          </w:p>
        </w:tc>
        <w:tc>
          <w:tcPr>
            <w:tcW w:w="1559" w:type="dxa"/>
            <w:vAlign w:val="center"/>
          </w:tcPr>
          <w:p>
            <w:pPr>
              <w:pStyle w:val="单元格样式2"/>
            </w:pPr>
            <w:r>
              <w:t xml:space="preserve">灾害防治及应急管理支出</w:t>
            </w:r>
          </w:p>
        </w:tc>
        <w:tc>
          <w:tcPr>
            <w:tcW w:w="1134" w:type="dxa"/>
            <w:vAlign w:val="center"/>
          </w:tcPr>
          <w:p>
            <w:pPr>
              <w:pStyle w:val="单元格样式4"/>
            </w:pPr>
            <w:r>
              <w:t xml:space="preserve">1790.00</w:t>
            </w:r>
          </w:p>
        </w:tc>
        <w:tc>
          <w:tcPr>
            <w:tcW w:w="1134" w:type="dxa"/>
            <w:vAlign w:val="center"/>
          </w:tcPr>
          <w:p>
            <w:pPr>
              <w:pStyle w:val="单元格样式4"/>
            </w:pPr>
            <w:r>
              <w:t xml:space="preserve">1790.00</w:t>
            </w:r>
          </w:p>
        </w:tc>
        <w:tc>
          <w:tcPr>
            <w:tcW w:w="1134" w:type="dxa"/>
            <w:vAlign w:val="center"/>
          </w:tcPr>
          <w:p>
            <w:pPr>
              <w:pStyle w:val="单元格样式4"/>
            </w:pPr>
            <w:r>
              <w:t xml:space="preserve">1790.00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22402</w:t>
            </w:r>
          </w:p>
        </w:tc>
        <w:tc>
          <w:tcPr>
            <w:tcW w:w="1559" w:type="dxa"/>
            <w:vAlign w:val="center"/>
          </w:tcPr>
          <w:p>
            <w:pPr>
              <w:pStyle w:val="单元格样式2"/>
            </w:pPr>
            <w:r>
              <w:t xml:space="preserve">消防救援事务</w:t>
            </w:r>
          </w:p>
        </w:tc>
        <w:tc>
          <w:tcPr>
            <w:tcW w:w="1134" w:type="dxa"/>
            <w:vAlign w:val="center"/>
          </w:tcPr>
          <w:p>
            <w:pPr>
              <w:pStyle w:val="单元格样式4"/>
            </w:pPr>
            <w:r>
              <w:t xml:space="preserve">1790.00</w:t>
            </w:r>
          </w:p>
        </w:tc>
        <w:tc>
          <w:tcPr>
            <w:tcW w:w="1134" w:type="dxa"/>
            <w:vAlign w:val="center"/>
          </w:tcPr>
          <w:p>
            <w:pPr>
              <w:pStyle w:val="单元格样式4"/>
            </w:pPr>
            <w:r>
              <w:t xml:space="preserve">1790.00</w:t>
            </w:r>
          </w:p>
        </w:tc>
        <w:tc>
          <w:tcPr>
            <w:tcW w:w="1134" w:type="dxa"/>
            <w:vAlign w:val="center"/>
          </w:tcPr>
          <w:p>
            <w:pPr>
              <w:pStyle w:val="单元格样式4"/>
            </w:pPr>
            <w:r>
              <w:t xml:space="preserve">1790.00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2240204</w:t>
            </w:r>
          </w:p>
        </w:tc>
        <w:tc>
          <w:tcPr>
            <w:tcW w:w="1559" w:type="dxa"/>
            <w:vAlign w:val="center"/>
          </w:tcPr>
          <w:p>
            <w:pPr>
              <w:pStyle w:val="单元格样式2"/>
            </w:pPr>
            <w:r>
              <w:t xml:space="preserve">消防应急救援</w:t>
            </w:r>
          </w:p>
        </w:tc>
        <w:tc>
          <w:tcPr>
            <w:tcW w:w="1134" w:type="dxa"/>
            <w:vAlign w:val="center"/>
          </w:tcPr>
          <w:p>
            <w:pPr>
              <w:pStyle w:val="单元格样式4"/>
            </w:pPr>
            <w:r>
              <w:t xml:space="preserve">1790.00</w:t>
            </w:r>
          </w:p>
        </w:tc>
        <w:tc>
          <w:tcPr>
            <w:tcW w:w="1134" w:type="dxa"/>
            <w:vAlign w:val="center"/>
          </w:tcPr>
          <w:p>
            <w:pPr>
              <w:pStyle w:val="单元格样式4"/>
            </w:pPr>
            <w:r>
              <w:t xml:space="preserve">1790.00</w:t>
            </w:r>
          </w:p>
        </w:tc>
        <w:tc>
          <w:tcPr>
            <w:tcW w:w="1134" w:type="dxa"/>
            <w:vAlign w:val="center"/>
          </w:tcPr>
          <w:p>
            <w:pPr>
              <w:pStyle w:val="单元格样式4"/>
            </w:pPr>
            <w:r>
              <w:t xml:space="preserve">1790.00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1"/>
      </w:pPr>
      <w:bookmarkStart w:id="2" w:name="_Toc_2_2_0000000003"/>
      <w:r>
        <w:rPr>
          <w:rFonts w:ascii="方正小标宋_GBK" w:eastAsia="方正小标宋_GBK" w:hAnsi="方正小标宋_GBK" w:cs="方正小标宋_GBK"/>
          <w:color w:val="000000"/>
          <w:sz w:val="36"/>
        </w:rPr>
        <w:t xml:space="preserve">部门预算支出总表</w:t>
      </w:r>
      <w:bookmarkEnd w:id="2"/>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993高阳县消防救援大队</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1790.00</w:t>
            </w:r>
          </w:p>
        </w:tc>
        <w:tc>
          <w:tcPr>
            <w:tcW w:w="1361" w:type="dxa"/>
            <w:vAlign w:val="center"/>
          </w:tcPr>
          <w:p>
            <w:pPr>
              <w:pStyle w:val="单元格样式7"/>
            </w:pPr>
          </w:p>
        </w:tc>
        <w:tc>
          <w:tcPr>
            <w:tcW w:w="1361" w:type="dxa"/>
            <w:vAlign w:val="center"/>
          </w:tcPr>
          <w:p>
            <w:pPr>
              <w:pStyle w:val="单元格样式7"/>
            </w:pPr>
            <w:r>
              <w:t xml:space="preserve">1790.00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224</w:t>
            </w:r>
          </w:p>
        </w:tc>
        <w:tc>
          <w:tcPr>
            <w:tcW w:w="4535" w:type="dxa"/>
            <w:vAlign w:val="center"/>
          </w:tcPr>
          <w:p>
            <w:pPr>
              <w:pStyle w:val="单元格样式2"/>
            </w:pPr>
            <w:r>
              <w:t xml:space="preserve">灾害防治及应急管理支出</w:t>
            </w:r>
          </w:p>
        </w:tc>
        <w:tc>
          <w:tcPr>
            <w:tcW w:w="1361" w:type="dxa"/>
            <w:vAlign w:val="center"/>
          </w:tcPr>
          <w:p>
            <w:pPr>
              <w:pStyle w:val="单元格样式4"/>
            </w:pPr>
            <w:r>
              <w:t xml:space="preserve">1790.00</w:t>
            </w:r>
          </w:p>
        </w:tc>
        <w:tc>
          <w:tcPr>
            <w:tcW w:w="1361" w:type="dxa"/>
            <w:vAlign w:val="center"/>
          </w:tcPr>
          <w:p>
            <w:pPr>
              <w:pStyle w:val="单元格样式4"/>
            </w:pPr>
          </w:p>
        </w:tc>
        <w:tc>
          <w:tcPr>
            <w:tcW w:w="1361" w:type="dxa"/>
            <w:vAlign w:val="center"/>
          </w:tcPr>
          <w:p>
            <w:pPr>
              <w:pStyle w:val="单元格样式4"/>
            </w:pPr>
            <w:r>
              <w:t xml:space="preserve">1790.00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22402</w:t>
            </w:r>
          </w:p>
        </w:tc>
        <w:tc>
          <w:tcPr>
            <w:tcW w:w="4535" w:type="dxa"/>
            <w:vAlign w:val="center"/>
          </w:tcPr>
          <w:p>
            <w:pPr>
              <w:pStyle w:val="单元格样式2"/>
            </w:pPr>
            <w:r>
              <w:t xml:space="preserve">消防救援事务</w:t>
            </w:r>
          </w:p>
        </w:tc>
        <w:tc>
          <w:tcPr>
            <w:tcW w:w="1361" w:type="dxa"/>
            <w:vAlign w:val="center"/>
          </w:tcPr>
          <w:p>
            <w:pPr>
              <w:pStyle w:val="单元格样式4"/>
            </w:pPr>
            <w:r>
              <w:t xml:space="preserve">1790.00</w:t>
            </w:r>
          </w:p>
        </w:tc>
        <w:tc>
          <w:tcPr>
            <w:tcW w:w="1361" w:type="dxa"/>
            <w:vAlign w:val="center"/>
          </w:tcPr>
          <w:p>
            <w:pPr>
              <w:pStyle w:val="单元格样式4"/>
            </w:pPr>
          </w:p>
        </w:tc>
        <w:tc>
          <w:tcPr>
            <w:tcW w:w="1361" w:type="dxa"/>
            <w:vAlign w:val="center"/>
          </w:tcPr>
          <w:p>
            <w:pPr>
              <w:pStyle w:val="单元格样式4"/>
            </w:pPr>
            <w:r>
              <w:t xml:space="preserve">1790.00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2240204</w:t>
            </w:r>
          </w:p>
        </w:tc>
        <w:tc>
          <w:tcPr>
            <w:tcW w:w="4535" w:type="dxa"/>
            <w:vAlign w:val="center"/>
          </w:tcPr>
          <w:p>
            <w:pPr>
              <w:pStyle w:val="单元格样式2"/>
            </w:pPr>
            <w:r>
              <w:t xml:space="preserve">消防应急救援</w:t>
            </w:r>
          </w:p>
        </w:tc>
        <w:tc>
          <w:tcPr>
            <w:tcW w:w="1361" w:type="dxa"/>
            <w:vAlign w:val="center"/>
          </w:tcPr>
          <w:p>
            <w:pPr>
              <w:pStyle w:val="单元格样式4"/>
            </w:pPr>
            <w:r>
              <w:t xml:space="preserve">1790.00</w:t>
            </w:r>
          </w:p>
        </w:tc>
        <w:tc>
          <w:tcPr>
            <w:tcW w:w="1361" w:type="dxa"/>
            <w:vAlign w:val="center"/>
          </w:tcPr>
          <w:p>
            <w:pPr>
              <w:pStyle w:val="单元格样式4"/>
            </w:pPr>
          </w:p>
        </w:tc>
        <w:tc>
          <w:tcPr>
            <w:tcW w:w="1361" w:type="dxa"/>
            <w:vAlign w:val="center"/>
          </w:tcPr>
          <w:p>
            <w:pPr>
              <w:pStyle w:val="单元格样式4"/>
            </w:pPr>
            <w:r>
              <w:t xml:space="preserve">1790.00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1"/>
      </w:pPr>
      <w:bookmarkStart w:id="3" w:name="_Toc_2_2_0000000004"/>
      <w:r>
        <w:rPr>
          <w:rFonts w:ascii="方正小标宋_GBK" w:eastAsia="方正小标宋_GBK" w:hAnsi="方正小标宋_GBK" w:cs="方正小标宋_GBK"/>
          <w:color w:val="000000"/>
          <w:sz w:val="36"/>
        </w:rPr>
        <w:t xml:space="preserve">部门预算财政拨款收支总表</w:t>
      </w:r>
      <w:bookmarkEnd w:id="3"/>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993高阳县消防救援大队</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1790.00</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r>
              <w:t xml:space="preserve">1790.00</w:t>
            </w:r>
          </w:p>
        </w:tc>
        <w:tc>
          <w:tcPr>
            <w:tcW w:w="1474" w:type="dxa"/>
            <w:vAlign w:val="center"/>
          </w:tcPr>
          <w:p>
            <w:pPr>
              <w:pStyle w:val="单元格样式4"/>
            </w:pPr>
            <w:r>
              <w:t xml:space="preserve">1790.00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1790.00</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1790.00</w:t>
            </w:r>
          </w:p>
        </w:tc>
        <w:tc>
          <w:tcPr>
            <w:tcW w:w="1474" w:type="dxa"/>
            <w:vAlign w:val="center"/>
          </w:tcPr>
          <w:p>
            <w:pPr>
              <w:pStyle w:val="单元格样式7"/>
            </w:pPr>
            <w:r>
              <w:t xml:space="preserve">1790.00</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1790.00</w:t>
            </w:r>
          </w:p>
        </w:tc>
        <w:tc>
          <w:tcPr>
            <w:tcW w:w="3402" w:type="dxa"/>
            <w:vAlign w:val="center"/>
          </w:tcPr>
          <w:p>
            <w:pPr>
              <w:pStyle w:val="单元格样式6"/>
            </w:pPr>
            <w:r>
              <w:t xml:space="preserve">支出总计</w:t>
            </w:r>
          </w:p>
        </w:tc>
        <w:tc>
          <w:tcPr>
            <w:tcW w:w="1474" w:type="dxa"/>
            <w:vAlign w:val="center"/>
          </w:tcPr>
          <w:p>
            <w:pPr>
              <w:pStyle w:val="单元格样式7"/>
            </w:pPr>
            <w:r>
              <w:t xml:space="preserve">1790.00</w:t>
            </w:r>
          </w:p>
        </w:tc>
        <w:tc>
          <w:tcPr>
            <w:tcW w:w="1474" w:type="dxa"/>
            <w:vAlign w:val="center"/>
          </w:tcPr>
          <w:p>
            <w:pPr>
              <w:pStyle w:val="单元格样式7"/>
            </w:pPr>
            <w:r>
              <w:t xml:space="preserve">1790.00</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eastAsia="方正小标宋_GBK" w:hAnsi="方正小标宋_GBK" w:cs="方正小标宋_GBK"/>
          <w:color w:val="000000"/>
          <w:sz w:val="36"/>
        </w:rPr>
        <w:t xml:space="preserve">部门预算一般公共预算财政拨款支出表</w:t>
      </w:r>
      <w:bookmarkEnd w:id="4"/>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993高阳县消防救援大队</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1790.00</w:t>
            </w:r>
          </w:p>
        </w:tc>
        <w:tc>
          <w:tcPr>
            <w:tcW w:w="2551" w:type="dxa"/>
            <w:vAlign w:val="center"/>
          </w:tcPr>
          <w:p>
            <w:pPr>
              <w:pStyle w:val="单元格样式7"/>
            </w:pPr>
          </w:p>
        </w:tc>
        <w:tc>
          <w:tcPr>
            <w:tcW w:w="2551" w:type="dxa"/>
            <w:vAlign w:val="center"/>
          </w:tcPr>
          <w:p>
            <w:pPr>
              <w:pStyle w:val="单元格样式7"/>
            </w:pPr>
            <w:r>
              <w:t xml:space="preserve">1790.00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224</w:t>
            </w:r>
          </w:p>
        </w:tc>
        <w:tc>
          <w:tcPr>
            <w:tcW w:w="4535" w:type="dxa"/>
            <w:vAlign w:val="center"/>
          </w:tcPr>
          <w:p>
            <w:pPr>
              <w:pStyle w:val="单元格样式2"/>
            </w:pPr>
            <w:r>
              <w:t xml:space="preserve">灾害防治及应急管理支出</w:t>
            </w:r>
          </w:p>
        </w:tc>
        <w:tc>
          <w:tcPr>
            <w:tcW w:w="2551" w:type="dxa"/>
            <w:vAlign w:val="center"/>
          </w:tcPr>
          <w:p>
            <w:pPr>
              <w:pStyle w:val="单元格样式4"/>
            </w:pPr>
            <w:r>
              <w:t xml:space="preserve">1790.00</w:t>
            </w:r>
          </w:p>
        </w:tc>
        <w:tc>
          <w:tcPr>
            <w:tcW w:w="2551" w:type="dxa"/>
            <w:vAlign w:val="center"/>
          </w:tcPr>
          <w:p>
            <w:pPr>
              <w:pStyle w:val="单元格样式4"/>
            </w:pPr>
          </w:p>
        </w:tc>
        <w:tc>
          <w:tcPr>
            <w:tcW w:w="2551" w:type="dxa"/>
            <w:vAlign w:val="center"/>
          </w:tcPr>
          <w:p>
            <w:pPr>
              <w:pStyle w:val="单元格样式4"/>
            </w:pPr>
            <w:r>
              <w:t xml:space="preserve">1790.00</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22402</w:t>
            </w:r>
          </w:p>
        </w:tc>
        <w:tc>
          <w:tcPr>
            <w:tcW w:w="4535" w:type="dxa"/>
            <w:vAlign w:val="center"/>
          </w:tcPr>
          <w:p>
            <w:pPr>
              <w:pStyle w:val="单元格样式2"/>
            </w:pPr>
            <w:r>
              <w:t xml:space="preserve">消防救援事务</w:t>
            </w:r>
          </w:p>
        </w:tc>
        <w:tc>
          <w:tcPr>
            <w:tcW w:w="2551" w:type="dxa"/>
            <w:vAlign w:val="center"/>
          </w:tcPr>
          <w:p>
            <w:pPr>
              <w:pStyle w:val="单元格样式4"/>
            </w:pPr>
            <w:r>
              <w:t xml:space="preserve">1790.00</w:t>
            </w:r>
          </w:p>
        </w:tc>
        <w:tc>
          <w:tcPr>
            <w:tcW w:w="2551" w:type="dxa"/>
            <w:vAlign w:val="center"/>
          </w:tcPr>
          <w:p>
            <w:pPr>
              <w:pStyle w:val="单元格样式4"/>
            </w:pPr>
          </w:p>
        </w:tc>
        <w:tc>
          <w:tcPr>
            <w:tcW w:w="2551" w:type="dxa"/>
            <w:vAlign w:val="center"/>
          </w:tcPr>
          <w:p>
            <w:pPr>
              <w:pStyle w:val="单元格样式4"/>
            </w:pPr>
            <w:r>
              <w:t xml:space="preserve">1790.00</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2240204</w:t>
            </w:r>
          </w:p>
        </w:tc>
        <w:tc>
          <w:tcPr>
            <w:tcW w:w="4535" w:type="dxa"/>
            <w:vAlign w:val="center"/>
          </w:tcPr>
          <w:p>
            <w:pPr>
              <w:pStyle w:val="单元格样式2"/>
            </w:pPr>
            <w:r>
              <w:t xml:space="preserve">消防应急救援</w:t>
            </w:r>
          </w:p>
        </w:tc>
        <w:tc>
          <w:tcPr>
            <w:tcW w:w="2551" w:type="dxa"/>
            <w:vAlign w:val="center"/>
          </w:tcPr>
          <w:p>
            <w:pPr>
              <w:pStyle w:val="单元格样式4"/>
            </w:pPr>
            <w:r>
              <w:t xml:space="preserve">1790.00</w:t>
            </w:r>
          </w:p>
        </w:tc>
        <w:tc>
          <w:tcPr>
            <w:tcW w:w="2551" w:type="dxa"/>
            <w:vAlign w:val="center"/>
          </w:tcPr>
          <w:p>
            <w:pPr>
              <w:pStyle w:val="单元格样式4"/>
            </w:pPr>
          </w:p>
        </w:tc>
        <w:tc>
          <w:tcPr>
            <w:tcW w:w="2551" w:type="dxa"/>
            <w:vAlign w:val="center"/>
          </w:tcPr>
          <w:p>
            <w:pPr>
              <w:pStyle w:val="单元格样式4"/>
            </w:pPr>
            <w:r>
              <w:t xml:space="preserve">1790.00</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eastAsia="方正小标宋_GBK" w:hAnsi="方正小标宋_GBK" w:cs="方正小标宋_GBK"/>
          <w:color w:val="000000"/>
          <w:sz w:val="36"/>
        </w:rPr>
        <w:t xml:space="preserve">部门预算一般公共预算财政拨款基本支出表</w:t>
      </w:r>
      <w:bookmarkEnd w:id="5"/>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993高阳县消防救援大队</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注：无一般公共预算财政拨款基本支出预算，空表列示。</w:t>
      </w:r>
    </w:p>
    <w:p>
      <w:pPr>
        <w:spacing w:before="0" w:after="0" w:line="240" w:lineRule="auto"/>
        <w:ind w:firstLine="0"/>
        <w:jc w:val="center"/>
        <w:outlineLvl w:val="1"/>
      </w:pPr>
      <w:bookmarkStart w:id="6" w:name="_Toc_2_2_0000000007"/>
      <w:r>
        <w:rPr>
          <w:rFonts w:ascii="方正小标宋_GBK" w:eastAsia="方正小标宋_GBK" w:hAnsi="方正小标宋_GBK" w:cs="方正小标宋_GBK"/>
          <w:color w:val="000000"/>
          <w:sz w:val="36"/>
        </w:rPr>
        <w:t xml:space="preserve">部门预算政府性基金预算财政拨款支出表</w:t>
      </w:r>
      <w:bookmarkEnd w:id="6"/>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993高阳县消防救援大队</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1"/>
      </w:pPr>
      <w:bookmarkStart w:id="7" w:name="_Toc_2_2_0000000008"/>
      <w:r>
        <w:rPr>
          <w:rFonts w:ascii="方正小标宋_GBK" w:eastAsia="方正小标宋_GBK" w:hAnsi="方正小标宋_GBK" w:cs="方正小标宋_GBK"/>
          <w:color w:val="000000"/>
          <w:sz w:val="36"/>
        </w:rPr>
        <w:t xml:space="preserve">部门预算国有资本经营预算财政拨款支出表</w:t>
      </w:r>
      <w:bookmarkEnd w:id="7"/>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993高阳县消防救援大队</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1"/>
      </w:pPr>
      <w:bookmarkStart w:id="8" w:name="_Toc_2_2_0000000009"/>
      <w:r>
        <w:rPr>
          <w:rFonts w:ascii="方正小标宋_GBK" w:eastAsia="方正小标宋_GBK" w:hAnsi="方正小标宋_GBK" w:cs="方正小标宋_GBK"/>
          <w:color w:val="000000"/>
          <w:sz w:val="36"/>
        </w:rPr>
        <w:t xml:space="preserve">部门预算财政拨款“三公”经费支出表</w:t>
      </w:r>
      <w:bookmarkEnd w:id="8"/>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993高阳县消防救援大队</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注：无财政拨款“三公”经费支出预算，空表列示。</w:t>
      </w:r>
    </w:p>
    <w:p>
      <w:pPr>
        <w:spacing w:before="0" w:after="0" w:line="240" w:lineRule="auto"/>
        <w:ind w:firstLine="0"/>
        <w:jc w:val="center"/>
        <w:outlineLvl w:val="0"/>
        <w:sectPr>
          <w:type w:val="nextPage"/>
          <w:pgSz w:w="16840" w:h="11900" w:orient="landscape"/>
          <w:pgMar w:top="1361" w:right="1020" w:bottom="1361" w:left="1020" w:header="720" w:footer="720" w:gutter="0"/>
        </w:sectPr>
      </w:pPr>
      <w:r>
        <w:rPr>
          <w:rFonts w:ascii="方正书宋_GBK" w:eastAsia="方正书宋_GBK" w:hAnsi="方正书宋_GBK" w:cs="方正书宋_GBK"/>
          <w:color w:val="FFFFFF"/>
          <w:sz w:val="21"/>
        </w:rPr>
        <w:t xml:space="preserve">第一部分  高阳县消防救援大队2026年部门预算信息公开情况说明</w:t>
      </w:r>
    </w:p>
    <w:p>
      <w:pPr>
        <w:spacing w:before="0" w:after="0" w:line="240" w:lineRule="auto"/>
        <w:ind w:firstLine="0"/>
        <w:jc w:val="center"/>
        <w:outlineLvl w:val="9"/>
      </w:pPr>
      <w:r>
        <w:rPr>
          <w:rFonts w:ascii="方正小标宋_GBK" w:eastAsia="方正小标宋_GBK" w:hAnsi="方正小标宋_GBK" w:cs="方正小标宋_GBK"/>
          <w:color w:val="000000"/>
          <w:sz w:val="44"/>
        </w:rPr>
        <w:t xml:space="preserve">高阳县消防救援大队2026年部门预算信息公开情况说明</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按照《中华人民共和国预算法》、《地方预决算公开操作规程》和《关于进一步推进预算公开工作的实施意见》规定，现将高阳县消防救援大队2026年部门预算公开如下：</w:t>
      </w:r>
    </w:p>
    <w:p>
      <w:pPr>
        <w:spacing w:before="10" w:after="10" w:line="360" w:lineRule="auto"/>
        <w:ind w:firstLine="640"/>
        <w:jc w:val="left"/>
        <w:outlineLvl w:val="2"/>
      </w:pPr>
      <w:bookmarkStart w:id="9" w:name="_Toc_3_3_0000000010"/>
      <w:r>
        <w:rPr>
          <w:rFonts w:ascii="黑体" w:eastAsia="黑体" w:hAnsi="黑体" w:cs="黑体"/>
          <w:color w:val="000000"/>
          <w:sz w:val="32"/>
        </w:rPr>
        <w:t xml:space="preserve">一、部门职责及机构设置情况</w:t>
      </w:r>
      <w:bookmarkEnd w:id="9"/>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部门职责：</w:t>
      </w:r>
    </w:p>
    <w:p>
      <w:pPr>
        <w:pStyle w:val="插入文本样式-插入预算公开部门职责文件"/>
      </w:pPr>
      <w:r>
        <w:t xml:space="preserve">承担城乡综合性消费救援工作，负责指挥调度相关灾害事故救援行动，承担重要会议、大型活动消防安保工作；承担火灾预防、消防监督执法以及火灾事故调查处理相关工作，依法行使消防安全综合监管职能，推动落实消防安全责任制；参与拟订消防专项规划，参与起草地方性消防法规、规章草案并监督实施；负责消防救援队伍综合性消防救援预案编制，战术研究和执勤备战、训练演练等工作；负责消防救援信息化和应急通信，承担综合性消防救援行动应急通信保障工作；负责消防安全宣传教育，组织指导社会消防力量建设；负责消防应急救援专业队伍规划，建设与调度指挥，参与组织协调动员各类社会救援力量参加救援任务；负责消防救援队伍建设与管理。</w:t>
      </w:r>
    </w:p>
    <w:p>
      <w:pPr>
        <w:pStyle w:val="插入文本样式-插入预算公开部门职责文件"/>
      </w:pPr>
      <w:r>
        <w:t xml:space="preserve">完成应急管理部和所在省（市、县）党委政府交办的相关任务。</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部门机构设置情况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高阳县消防救援大队</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360" w:lineRule="auto"/>
        <w:ind w:firstLine="640"/>
        <w:jc w:val="left"/>
        <w:outlineLvl w:val="2"/>
      </w:pPr>
      <w:bookmarkStart w:id="10" w:name="_Toc_3_3_0000000011"/>
      <w:r>
        <w:rPr>
          <w:rFonts w:ascii="黑体" w:eastAsia="黑体" w:hAnsi="黑体" w:cs="黑体"/>
          <w:color w:val="000000"/>
          <w:sz w:val="32"/>
        </w:rPr>
        <w:t xml:space="preserve">二、部门预算安排的总体情况</w:t>
      </w:r>
      <w:bookmarkEnd w:id="10"/>
    </w:p>
    <w:p>
      <w:pPr>
        <w:pStyle w:val="插入文本样式-插入预算公开部门预算安排的总体情况文件"/>
      </w:pPr>
      <w:r>
        <w:t xml:space="preserve">按照预算管理有关规定，目前部门预算的编制实行综合预算管理，即全部收入和支出都反映在预算中。高阳县消防救援大队机关及所属事业单位的收支包含在部门预算中。</w:t>
      </w:r>
    </w:p>
    <w:p>
      <w:pPr>
        <w:pStyle w:val="插入文本样式-插入预算公开部门预算安排的总体情况文件"/>
      </w:pPr>
      <w:r>
        <w:t xml:space="preserve">1、收入说明</w:t>
      </w:r>
    </w:p>
    <w:p>
      <w:pPr>
        <w:pStyle w:val="插入文本样式-插入预算公开部门预算安排的总体情况文件"/>
      </w:pPr>
      <w:r>
        <w:t xml:space="preserve">反映本部门当年全部收入。2026年预算收入1790.00万元，其中：一般公共预算收入1790.00万元，基金预算收入0.00万元，国有资本经营预算收入0.00万元，财政专户核拨收入0.00万元，单位资金收入0.00万元，上年结转结余0.00万元。</w:t>
      </w:r>
    </w:p>
    <w:p>
      <w:pPr>
        <w:pStyle w:val="插入文本样式-插入预算公开部门预算安排的总体情况文件"/>
      </w:pPr>
      <w:r>
        <w:t xml:space="preserve">2、支出说明</w:t>
      </w:r>
    </w:p>
    <w:p>
      <w:pPr>
        <w:pStyle w:val="插入文本样式-插入预算公开部门预算安排的总体情况文件"/>
      </w:pPr>
      <w:r>
        <w:t xml:space="preserve">收支预算总表支出栏、基本支出表、项目支出表按经济分类和支出功能分类科目编制，反映高阳县消防救援大队年度部门预算中支出预算的总体情况。2026年支出预算1790.00万元，其中基本支出0.00万元，包括人员经费0.00万元和日常公用经费0.00万元；项目支出1790.00万元，主要为本部门全部支出均为项目支出。；预计下年使用的单位资金结余0.00万元。委托业务费共计安排0.00万元，主要用于因技术原因确需对外委托的辅助性工作和确有必要对外委托开展咨询、评审、规划等工作。</w:t>
      </w:r>
    </w:p>
    <w:p>
      <w:pPr>
        <w:pStyle w:val="插入文本样式-插入预算公开部门预算安排的总体情况文件"/>
      </w:pPr>
      <w:r>
        <w:t xml:space="preserve">3、比上年增减情况</w:t>
      </w:r>
    </w:p>
    <w:p>
      <w:pPr>
        <w:pStyle w:val="插入文本样式-插入预算公开部门预算安排的总体情况文件"/>
      </w:pPr>
      <w:r>
        <w:t xml:space="preserve">2026年预算收支安排1790.00万元，较2025年预算减少15.22万元，其中：基本支出增加0.00万元，主要为落实“过紧日子”要求。项目支出减少15.22万元，主要为落实“过紧日子”要求。。预计下年使用的单位资金结余增加0.00万元。</w:t>
      </w:r>
    </w:p>
    <w:p>
      <w:pPr>
        <w:spacing w:before="10" w:after="10" w:line="360" w:lineRule="auto"/>
        <w:ind w:firstLine="640"/>
        <w:jc w:val="left"/>
        <w:outlineLvl w:val="2"/>
      </w:pPr>
      <w:bookmarkStart w:id="11" w:name="_Toc_3_3_0000000012"/>
      <w:r>
        <w:rPr>
          <w:rFonts w:ascii="黑体" w:eastAsia="黑体" w:hAnsi="黑体" w:cs="黑体"/>
          <w:color w:val="000000"/>
          <w:sz w:val="32"/>
        </w:rPr>
        <w:t xml:space="preserve">三、机关运行经费安排情况</w:t>
      </w:r>
      <w:bookmarkEnd w:id="11"/>
    </w:p>
    <w:p>
      <w:pPr>
        <w:pStyle w:val="插入文本样式-插入预算公开部门机关运行经费安排情况文件"/>
      </w:pPr>
    </w:p>
    <w:p>
      <w:pPr>
        <w:spacing w:before="10" w:after="10" w:line="360" w:lineRule="auto"/>
        <w:ind w:firstLine="640"/>
        <w:jc w:val="left"/>
        <w:outlineLvl w:val="2"/>
      </w:pPr>
      <w:bookmarkStart w:id="12" w:name="_Toc_3_3_0000000013"/>
      <w:r>
        <w:rPr>
          <w:rFonts w:ascii="黑体" w:eastAsia="黑体" w:hAnsi="黑体" w:cs="黑体"/>
          <w:color w:val="000000"/>
          <w:sz w:val="32"/>
        </w:rPr>
        <w:t xml:space="preserve">四、财政拨款“三公”经费预算情况及增减变化原因</w:t>
      </w:r>
      <w:bookmarkEnd w:id="12"/>
    </w:p>
    <w:p>
      <w:pPr>
        <w:pStyle w:val="插入文本样式-插入预算公开部门财政拨款三公经费预算情况及增减变化原因文件"/>
      </w:pPr>
      <w:r>
        <w:t xml:space="preserve">2026年，我部门财政拨款“三公”经费预算安排0.00万元，其中因公出国（境）费0.00万元；公务用车购置及运维费0.00万元（其中：公务用车购置费为0.00万元，公务用车运维费0.00万元)；公务接待费0.00万元。与2025年相比增加0.00万元，增减变化的主要原因是无“三公”经费预算安排。</w:t>
      </w:r>
    </w:p>
    <w:p>
      <w:pPr>
        <w:spacing w:before="10" w:after="10" w:line="360" w:lineRule="auto"/>
        <w:ind w:firstLine="640"/>
        <w:jc w:val="left"/>
        <w:outlineLvl w:val="2"/>
      </w:pPr>
      <w:bookmarkStart w:id="13" w:name="_Toc_3_3_0000000014"/>
      <w:r>
        <w:rPr>
          <w:rFonts w:ascii="黑体" w:eastAsia="黑体" w:hAnsi="黑体" w:cs="黑体"/>
          <w:color w:val="000000"/>
          <w:sz w:val="32"/>
        </w:rPr>
        <w:t xml:space="preserve">五、部门整体绩效目标</w:t>
      </w:r>
      <w:bookmarkEnd w:id="13"/>
    </w:p>
    <w:p>
      <w:pPr>
        <w:spacing w:before="0" w:after="0" w:line="500" w:lineRule="exact"/>
        <w:ind w:firstLine="560"/>
        <w:jc w:val="left"/>
        <w:outlineLvl w:val="9"/>
      </w:pPr>
      <w:r>
        <w:rPr>
          <w:rFonts w:ascii="Times New Roman" w:eastAsia="方正仿宋_GBK" w:hAnsi="Times New Roman" w:cs="Times New Roman"/>
          <w:color w:val="000000"/>
          <w:sz w:val="28"/>
        </w:rPr>
        <w:t xml:space="preserve">（一）总体绩效目标</w:t>
      </w:r>
    </w:p>
    <w:p>
      <w:pPr>
        <w:pStyle w:val="插入文本样式-插入总体目标文件"/>
      </w:pPr>
    </w:p>
    <w:p>
      <w:pPr>
        <w:spacing w:before="0" w:after="0" w:line="500" w:lineRule="exact"/>
        <w:ind w:firstLine="560"/>
        <w:jc w:val="left"/>
        <w:outlineLvl w:val="9"/>
      </w:pPr>
      <w:r>
        <w:rPr>
          <w:rFonts w:ascii="Times New Roman" w:eastAsia="方正仿宋_GBK" w:hAnsi="Times New Roman" w:cs="Times New Roman"/>
          <w:color w:val="000000"/>
          <w:sz w:val="28"/>
        </w:rPr>
        <w:t xml:space="preserve">（二）分项绩效目标</w:t>
      </w:r>
    </w:p>
    <w:p>
      <w:pPr>
        <w:pStyle w:val="插入文本样式-插入职责分类绩效目标文件"/>
      </w:pPr>
    </w:p>
    <w:p>
      <w:pPr>
        <w:spacing w:before="0" w:after="0" w:line="500" w:lineRule="exact"/>
        <w:ind w:firstLine="560"/>
        <w:jc w:val="left"/>
        <w:outlineLvl w:val="9"/>
      </w:pPr>
      <w:r>
        <w:rPr>
          <w:rFonts w:ascii="Times New Roman" w:eastAsia="方正仿宋_GBK" w:hAnsi="Times New Roman" w:cs="Times New Roman"/>
          <w:color w:val="000000"/>
          <w:sz w:val="28"/>
        </w:rPr>
        <w:t xml:space="preserve">（三）工作保障措施</w:t>
      </w:r>
    </w:p>
    <w:p>
      <w:pPr>
        <w:pStyle w:val="插入文本样式-插入实现年度发展规划目标的保障措施文件"/>
        <w:sectPr>
          <w:type w:val="nextPage"/>
          <w:pgSz w:w="16840" w:h="11900" w:orient="landscape"/>
          <w:pgMar w:top="1361" w:right="1020" w:bottom="1361" w:left="1020" w:header="720" w:footer="720" w:gutter="0"/>
        </w:sectPr>
      </w:pPr>
    </w:p>
    <w:p>
      <w:pPr>
        <w:spacing w:before="10" w:after="10" w:line="360" w:lineRule="auto"/>
        <w:ind w:firstLine="640"/>
        <w:jc w:val="left"/>
        <w:outlineLvl w:val="2"/>
        <w:sectPr>
          <w:type w:val="nextPage"/>
          <w:pgSz w:w="16840" w:h="11900" w:orient="landscape"/>
          <w:pgMar w:top="1361" w:right="1020" w:bottom="1134" w:left="1020" w:header="720" w:footer="720" w:gutter="0"/>
        </w:sectPr>
      </w:pPr>
      <w:bookmarkStart w:id="14" w:name="_Toc_3_3_0000000015"/>
      <w:r>
        <w:rPr>
          <w:rFonts w:ascii="黑体" w:eastAsia="黑体" w:hAnsi="黑体" w:cs="黑体"/>
          <w:color w:val="000000"/>
          <w:sz w:val="32"/>
        </w:rPr>
        <w:t xml:space="preserve">六、部门主管专项资金预算安排情况及绩效目标</w:t>
      </w:r>
      <w:bookmarkEnd w:id="14"/>
    </w:p>
    <w:p>
      <w:pPr>
        <w:spacing w:before="10" w:after="10" w:line="360" w:lineRule="auto"/>
        <w:ind w:firstLine="640"/>
        <w:jc w:val="left"/>
        <w:outlineLvl w:val="2"/>
        <w:sectPr>
          <w:type w:val="nextPage"/>
          <w:pgSz w:w="16840" w:h="11900" w:orient="landscape"/>
          <w:pgMar w:top="1361" w:right="1020" w:bottom="1134" w:left="1020" w:header="720" w:footer="720" w:gutter="0"/>
        </w:sectPr>
      </w:pPr>
      <w:bookmarkStart w:id="15" w:name="_Toc_3_3_0000000016"/>
      <w:r>
        <w:rPr>
          <w:rFonts w:ascii="黑体" w:eastAsia="黑体" w:hAnsi="黑体" w:cs="黑体"/>
          <w:color w:val="000000"/>
          <w:sz w:val="32"/>
        </w:rPr>
        <w:t xml:space="preserve">七、部门项目预算安排情况及绩效目标</w:t>
      </w:r>
      <w:bookmarkEnd w:id="15"/>
    </w:p>
    <w:p>
      <w:pPr>
        <w:spacing w:before="0" w:after="0"/>
        <w:ind w:firstLine="560"/>
        <w:jc w:val="left"/>
        <w:outlineLvl w:val="9"/>
      </w:pPr>
      <w:r>
        <w:rPr>
          <w:rFonts w:ascii="方正仿宋_GBK" w:eastAsia="方正仿宋_GBK" w:hAnsi="方正仿宋_GBK" w:cs="方正仿宋_GBK"/>
          <w:color w:val="000000"/>
          <w:sz w:val="28"/>
        </w:rPr>
        <w:t xml:space="preserve">1、高阳县消防车辆运行维护经费绩效目标表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13062826P00A928100116</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高阳县消防车辆运行维护经费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92.00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92.00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保障执勤消防车辆正常运转</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23.00</w:t>
            </w:r>
          </w:p>
        </w:tc>
        <w:tc>
          <w:tcPr>
            <w:tcW w:w="2835" w:type="dxa"/>
            <w:vAlign w:val="center"/>
          </w:tcPr>
          <w:p>
            <w:pPr>
              <w:pStyle w:val="单元格样式3"/>
            </w:pPr>
            <w:r>
              <w:t xml:space="preserve">46.00</w:t>
            </w:r>
          </w:p>
        </w:tc>
        <w:tc>
          <w:tcPr>
            <w:tcW w:w="2551" w:type="dxa"/>
            <w:vAlign w:val="center"/>
          </w:tcPr>
          <w:p>
            <w:pPr>
              <w:pStyle w:val="单元格样式3"/>
            </w:pPr>
            <w:r>
              <w:t xml:space="preserve">77.00</w:t>
            </w:r>
          </w:p>
        </w:tc>
        <w:tc>
          <w:tcPr>
            <w:tcW w:w="3544" w:type="dxa"/>
            <w:gridSpan w:val="2"/>
            <w:vAlign w:val="center"/>
          </w:tcPr>
          <w:p>
            <w:pPr>
              <w:pStyle w:val="单元格样式3"/>
            </w:pPr>
            <w:r>
              <w:t xml:space="preserve">92.00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1.保障执勤消防车辆正常运转</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出警率</w:t>
            </w:r>
          </w:p>
        </w:tc>
        <w:tc>
          <w:tcPr>
            <w:tcW w:w="5386" w:type="dxa"/>
            <w:vAlign w:val="center"/>
          </w:tcPr>
          <w:p>
            <w:pPr>
              <w:pStyle w:val="单元格样式2"/>
            </w:pPr>
            <w:r>
              <w:t xml:space="preserve">灭火应急救援出警率</w:t>
            </w:r>
          </w:p>
        </w:tc>
        <w:tc>
          <w:tcPr>
            <w:tcW w:w="2268" w:type="dxa"/>
            <w:vAlign w:val="center"/>
          </w:tcPr>
          <w:p>
            <w:pPr>
              <w:pStyle w:val="单元格样式2"/>
            </w:pPr>
            <w:r>
              <w:t xml:space="preserve">≥90%</w:t>
            </w:r>
          </w:p>
        </w:tc>
        <w:tc>
          <w:tcPr>
            <w:tcW w:w="1276" w:type="dxa"/>
            <w:vAlign w:val="center"/>
          </w:tcPr>
          <w:p>
            <w:pPr>
              <w:pStyle w:val="单元格样式2"/>
            </w:pPr>
            <w:r>
              <w:t xml:space="preserve">冀财防[2012]168号《河北省地方消防经费保障指导标准》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车辆正常运行率</w:t>
            </w:r>
          </w:p>
        </w:tc>
        <w:tc>
          <w:tcPr>
            <w:tcW w:w="5386" w:type="dxa"/>
            <w:vAlign w:val="center"/>
          </w:tcPr>
          <w:p>
            <w:pPr>
              <w:pStyle w:val="单元格样式2"/>
            </w:pPr>
            <w:r>
              <w:t xml:space="preserve">灭火救援时消防车辆正常运行率</w:t>
            </w:r>
          </w:p>
        </w:tc>
        <w:tc>
          <w:tcPr>
            <w:tcW w:w="2268" w:type="dxa"/>
            <w:vAlign w:val="center"/>
          </w:tcPr>
          <w:p>
            <w:pPr>
              <w:pStyle w:val="单元格样式2"/>
            </w:pPr>
            <w:r>
              <w:t xml:space="preserve">≥90%</w:t>
            </w:r>
          </w:p>
        </w:tc>
        <w:tc>
          <w:tcPr>
            <w:tcW w:w="1276" w:type="dxa"/>
            <w:vAlign w:val="center"/>
          </w:tcPr>
          <w:p>
            <w:pPr>
              <w:pStyle w:val="单元格样式2"/>
            </w:pPr>
            <w:r>
              <w:t xml:space="preserve">冀财防[2012]168号《河北省地方消防经费保障指导标准》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完成工作时间</w:t>
            </w:r>
          </w:p>
        </w:tc>
        <w:tc>
          <w:tcPr>
            <w:tcW w:w="5386" w:type="dxa"/>
            <w:vAlign w:val="center"/>
          </w:tcPr>
          <w:p>
            <w:pPr>
              <w:pStyle w:val="单元格样式2"/>
            </w:pPr>
            <w:r>
              <w:t xml:space="preserve">完成工作时间</w:t>
            </w:r>
          </w:p>
        </w:tc>
        <w:tc>
          <w:tcPr>
            <w:tcW w:w="2268" w:type="dxa"/>
            <w:vAlign w:val="center"/>
          </w:tcPr>
          <w:p>
            <w:pPr>
              <w:pStyle w:val="单元格样式2"/>
            </w:pPr>
            <w:r>
              <w:t xml:space="preserve">及时有效的完成车辆运行维护工作</w:t>
            </w:r>
          </w:p>
        </w:tc>
        <w:tc>
          <w:tcPr>
            <w:tcW w:w="1276" w:type="dxa"/>
            <w:vAlign w:val="center"/>
          </w:tcPr>
          <w:p>
            <w:pPr>
              <w:pStyle w:val="单元格样式2"/>
            </w:pPr>
            <w:r>
              <w:t xml:space="preserve">冀财防[2012]168号《河北省地方消防经费保障指导标准》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资金支付时限</w:t>
            </w:r>
          </w:p>
        </w:tc>
        <w:tc>
          <w:tcPr>
            <w:tcW w:w="5386" w:type="dxa"/>
            <w:vAlign w:val="center"/>
          </w:tcPr>
          <w:p>
            <w:pPr>
              <w:pStyle w:val="单元格样式2"/>
            </w:pPr>
            <w:r>
              <w:t xml:space="preserve">资金支付时限</w:t>
            </w:r>
          </w:p>
        </w:tc>
        <w:tc>
          <w:tcPr>
            <w:tcW w:w="2268" w:type="dxa"/>
            <w:vAlign w:val="center"/>
          </w:tcPr>
          <w:p>
            <w:pPr>
              <w:pStyle w:val="单元格样式2"/>
            </w:pPr>
            <w:r>
              <w:t xml:space="preserve">1年</w:t>
            </w:r>
          </w:p>
        </w:tc>
        <w:tc>
          <w:tcPr>
            <w:tcW w:w="1276" w:type="dxa"/>
            <w:vAlign w:val="center"/>
          </w:tcPr>
          <w:p>
            <w:pPr>
              <w:pStyle w:val="单元格样式2"/>
            </w:pPr>
            <w:r>
              <w:t xml:space="preserve">冀财防[2012]168号《河北省地方消防经费保障指导标准》</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应急救援率</w:t>
            </w:r>
          </w:p>
        </w:tc>
        <w:tc>
          <w:tcPr>
            <w:tcW w:w="5386" w:type="dxa"/>
            <w:vAlign w:val="center"/>
          </w:tcPr>
          <w:p>
            <w:pPr>
              <w:pStyle w:val="单元格样式2"/>
            </w:pPr>
            <w:r>
              <w:t xml:space="preserve">保护人民生命财产安全</w:t>
            </w:r>
          </w:p>
        </w:tc>
        <w:tc>
          <w:tcPr>
            <w:tcW w:w="2268" w:type="dxa"/>
            <w:vAlign w:val="center"/>
          </w:tcPr>
          <w:p>
            <w:pPr>
              <w:pStyle w:val="单元格样式2"/>
            </w:pPr>
            <w:r>
              <w:t xml:space="preserve">≥90%</w:t>
            </w:r>
          </w:p>
        </w:tc>
        <w:tc>
          <w:tcPr>
            <w:tcW w:w="1276" w:type="dxa"/>
            <w:vAlign w:val="center"/>
          </w:tcPr>
          <w:p>
            <w:pPr>
              <w:pStyle w:val="单元格样式2"/>
            </w:pPr>
            <w:r>
              <w:t xml:space="preserve">冀财防[2012]168号《河北省地方消防经费保障指导标准》</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被服务单位满意度占比</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2、高阳县消防业务经费绩效目标表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13062826P00A92810010J</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高阳县消防业务经费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460.00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460.00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履行职能所需支出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115.00</w:t>
            </w:r>
          </w:p>
        </w:tc>
        <w:tc>
          <w:tcPr>
            <w:tcW w:w="2835" w:type="dxa"/>
            <w:vAlign w:val="center"/>
          </w:tcPr>
          <w:p>
            <w:pPr>
              <w:pStyle w:val="单元格样式3"/>
            </w:pPr>
            <w:r>
              <w:t xml:space="preserve">230.00</w:t>
            </w:r>
          </w:p>
        </w:tc>
        <w:tc>
          <w:tcPr>
            <w:tcW w:w="2551" w:type="dxa"/>
            <w:vAlign w:val="center"/>
          </w:tcPr>
          <w:p>
            <w:pPr>
              <w:pStyle w:val="单元格样式3"/>
            </w:pPr>
            <w:r>
              <w:t xml:space="preserve">385.00</w:t>
            </w:r>
          </w:p>
        </w:tc>
        <w:tc>
          <w:tcPr>
            <w:tcW w:w="3544" w:type="dxa"/>
            <w:gridSpan w:val="2"/>
            <w:vAlign w:val="center"/>
          </w:tcPr>
          <w:p>
            <w:pPr>
              <w:pStyle w:val="单元格样式3"/>
            </w:pPr>
            <w:r>
              <w:t xml:space="preserve">460.00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1.保障我单位能正常运转</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覆盖率</w:t>
            </w:r>
          </w:p>
        </w:tc>
        <w:tc>
          <w:tcPr>
            <w:tcW w:w="5386" w:type="dxa"/>
            <w:vAlign w:val="center"/>
          </w:tcPr>
          <w:p>
            <w:pPr>
              <w:pStyle w:val="单元格样式2"/>
            </w:pPr>
            <w:r>
              <w:t xml:space="preserve">辖区内消防宣传覆盖率</w:t>
            </w:r>
          </w:p>
        </w:tc>
        <w:tc>
          <w:tcPr>
            <w:tcW w:w="2268" w:type="dxa"/>
            <w:vAlign w:val="center"/>
          </w:tcPr>
          <w:p>
            <w:pPr>
              <w:pStyle w:val="单元格样式2"/>
            </w:pPr>
            <w:r>
              <w:t xml:space="preserve">≥90%</w:t>
            </w:r>
          </w:p>
        </w:tc>
        <w:tc>
          <w:tcPr>
            <w:tcW w:w="1276" w:type="dxa"/>
            <w:vAlign w:val="center"/>
          </w:tcPr>
          <w:p>
            <w:pPr>
              <w:pStyle w:val="单元格样式2"/>
            </w:pPr>
            <w:r>
              <w:t xml:space="preserve">冀财行[2012]168号《河北省地方消防经费保障指导标准》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工作任务完成率</w:t>
            </w:r>
          </w:p>
        </w:tc>
        <w:tc>
          <w:tcPr>
            <w:tcW w:w="5386" w:type="dxa"/>
            <w:vAlign w:val="center"/>
          </w:tcPr>
          <w:p>
            <w:pPr>
              <w:pStyle w:val="单元格样式2"/>
            </w:pPr>
            <w:r>
              <w:t xml:space="preserve">工作任务完成率</w:t>
            </w:r>
          </w:p>
        </w:tc>
        <w:tc>
          <w:tcPr>
            <w:tcW w:w="2268" w:type="dxa"/>
            <w:vAlign w:val="center"/>
          </w:tcPr>
          <w:p>
            <w:pPr>
              <w:pStyle w:val="单元格样式2"/>
            </w:pPr>
            <w:r>
              <w:t xml:space="preserve">≥95%</w:t>
            </w:r>
          </w:p>
        </w:tc>
        <w:tc>
          <w:tcPr>
            <w:tcW w:w="1276" w:type="dxa"/>
            <w:vAlign w:val="center"/>
          </w:tcPr>
          <w:p>
            <w:pPr>
              <w:pStyle w:val="单元格样式2"/>
            </w:pPr>
            <w:r>
              <w:t xml:space="preserve">冀财行[2012]168号《河北省地方消防经费保障指导标准》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保障年度</w:t>
            </w:r>
          </w:p>
        </w:tc>
        <w:tc>
          <w:tcPr>
            <w:tcW w:w="5386" w:type="dxa"/>
            <w:vAlign w:val="center"/>
          </w:tcPr>
          <w:p>
            <w:pPr>
              <w:pStyle w:val="单元格样式2"/>
            </w:pPr>
            <w:r>
              <w:t xml:space="preserve">保障单位正常运转时间</w:t>
            </w:r>
          </w:p>
        </w:tc>
        <w:tc>
          <w:tcPr>
            <w:tcW w:w="2268" w:type="dxa"/>
            <w:vAlign w:val="center"/>
          </w:tcPr>
          <w:p>
            <w:pPr>
              <w:pStyle w:val="单元格样式2"/>
            </w:pPr>
            <w:r>
              <w:t xml:space="preserve">1年</w:t>
            </w:r>
          </w:p>
        </w:tc>
        <w:tc>
          <w:tcPr>
            <w:tcW w:w="1276" w:type="dxa"/>
            <w:vAlign w:val="center"/>
          </w:tcPr>
          <w:p>
            <w:pPr>
              <w:pStyle w:val="单元格样式2"/>
            </w:pPr>
            <w:r>
              <w:t xml:space="preserve">冀财行[2012]168号《河北省地方消防经费保障指导标准》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基本支出保障标准</w:t>
            </w:r>
          </w:p>
        </w:tc>
        <w:tc>
          <w:tcPr>
            <w:tcW w:w="5386" w:type="dxa"/>
            <w:vAlign w:val="center"/>
          </w:tcPr>
          <w:p>
            <w:pPr>
              <w:pStyle w:val="单元格样式2"/>
            </w:pPr>
            <w:r>
              <w:t xml:space="preserve">每人每年基本支出保障标准</w:t>
            </w:r>
          </w:p>
        </w:tc>
        <w:tc>
          <w:tcPr>
            <w:tcW w:w="2268" w:type="dxa"/>
            <w:vAlign w:val="center"/>
          </w:tcPr>
          <w:p>
            <w:pPr>
              <w:pStyle w:val="单元格样式2"/>
            </w:pPr>
            <w:r>
              <w:t xml:space="preserve">4万元</w:t>
            </w:r>
          </w:p>
        </w:tc>
        <w:tc>
          <w:tcPr>
            <w:tcW w:w="1276" w:type="dxa"/>
            <w:vAlign w:val="center"/>
          </w:tcPr>
          <w:p>
            <w:pPr>
              <w:pStyle w:val="单元格样式2"/>
            </w:pPr>
            <w:r>
              <w:t xml:space="preserve">冀财行[2012]168号《河北省地方消防经费保障指导标准》</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应急救援保障</w:t>
            </w:r>
          </w:p>
        </w:tc>
        <w:tc>
          <w:tcPr>
            <w:tcW w:w="5386" w:type="dxa"/>
            <w:vAlign w:val="center"/>
          </w:tcPr>
          <w:p>
            <w:pPr>
              <w:pStyle w:val="单元格样式2"/>
            </w:pPr>
            <w:r>
              <w:t xml:space="preserve">应急救援保障</w:t>
            </w:r>
          </w:p>
        </w:tc>
        <w:tc>
          <w:tcPr>
            <w:tcW w:w="2268" w:type="dxa"/>
            <w:vAlign w:val="center"/>
          </w:tcPr>
          <w:p>
            <w:pPr>
              <w:pStyle w:val="单元格样式2"/>
            </w:pPr>
            <w:r>
              <w:t xml:space="preserve">≥90%</w:t>
            </w:r>
          </w:p>
        </w:tc>
        <w:tc>
          <w:tcPr>
            <w:tcW w:w="1276" w:type="dxa"/>
            <w:vAlign w:val="center"/>
          </w:tcPr>
          <w:p>
            <w:pPr>
              <w:pStyle w:val="单元格样式2"/>
            </w:pPr>
            <w:r>
              <w:t xml:space="preserve">冀财行[2012]168号《河北省地方消防经费保障指导标准》</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满意的单位占总单位的比率</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3、高阳县政府专职消防员经费绩效目标表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13062826P00011210002W</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高阳县政府专职消防员经费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1180.00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1180.00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政府专职消防员工资、保险、伙食、被装等支出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295.00</w:t>
            </w:r>
          </w:p>
        </w:tc>
        <w:tc>
          <w:tcPr>
            <w:tcW w:w="2835" w:type="dxa"/>
            <w:vAlign w:val="center"/>
          </w:tcPr>
          <w:p>
            <w:pPr>
              <w:pStyle w:val="单元格样式3"/>
            </w:pPr>
            <w:r>
              <w:t xml:space="preserve">590.00</w:t>
            </w:r>
          </w:p>
        </w:tc>
        <w:tc>
          <w:tcPr>
            <w:tcW w:w="2551" w:type="dxa"/>
            <w:vAlign w:val="center"/>
          </w:tcPr>
          <w:p>
            <w:pPr>
              <w:pStyle w:val="单元格样式3"/>
            </w:pPr>
            <w:r>
              <w:t xml:space="preserve">983.00</w:t>
            </w:r>
          </w:p>
        </w:tc>
        <w:tc>
          <w:tcPr>
            <w:tcW w:w="3544" w:type="dxa"/>
            <w:gridSpan w:val="2"/>
            <w:vAlign w:val="center"/>
          </w:tcPr>
          <w:p>
            <w:pPr>
              <w:pStyle w:val="单元格样式3"/>
            </w:pPr>
            <w:r>
              <w:t xml:space="preserve">1180.00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1.保障队伍稳定，按时完成工作任务。</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执行人数</w:t>
            </w:r>
          </w:p>
        </w:tc>
        <w:tc>
          <w:tcPr>
            <w:tcW w:w="5386" w:type="dxa"/>
            <w:vAlign w:val="center"/>
          </w:tcPr>
          <w:p>
            <w:pPr>
              <w:pStyle w:val="单元格样式2"/>
            </w:pPr>
            <w:r>
              <w:t xml:space="preserve">执行人数占比</w:t>
            </w:r>
          </w:p>
        </w:tc>
        <w:tc>
          <w:tcPr>
            <w:tcW w:w="2268" w:type="dxa"/>
            <w:vAlign w:val="center"/>
          </w:tcPr>
          <w:p>
            <w:pPr>
              <w:pStyle w:val="单元格样式2"/>
            </w:pPr>
            <w:r>
              <w:t xml:space="preserve">≥90%</w:t>
            </w:r>
          </w:p>
        </w:tc>
        <w:tc>
          <w:tcPr>
            <w:tcW w:w="1276" w:type="dxa"/>
            <w:vAlign w:val="center"/>
          </w:tcPr>
          <w:p>
            <w:pPr>
              <w:pStyle w:val="单元格样式2"/>
            </w:pPr>
            <w:r>
              <w:t xml:space="preserve">高阳县人民政府编号X66号文件关于贯彻落实《保定市人民政府关于贯彻《河北省专职消防队伍建设管理办法》的实施意见》</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标准执行准确率</w:t>
            </w:r>
          </w:p>
        </w:tc>
        <w:tc>
          <w:tcPr>
            <w:tcW w:w="5386" w:type="dxa"/>
            <w:vAlign w:val="center"/>
          </w:tcPr>
          <w:p>
            <w:pPr>
              <w:pStyle w:val="单元格样式2"/>
            </w:pPr>
            <w:r>
              <w:t xml:space="preserve">按标准执行准确率</w:t>
            </w:r>
          </w:p>
        </w:tc>
        <w:tc>
          <w:tcPr>
            <w:tcW w:w="2268" w:type="dxa"/>
            <w:vAlign w:val="center"/>
          </w:tcPr>
          <w:p>
            <w:pPr>
              <w:pStyle w:val="单元格样式2"/>
            </w:pPr>
            <w:r>
              <w:t xml:space="preserve">≥95%</w:t>
            </w:r>
          </w:p>
        </w:tc>
        <w:tc>
          <w:tcPr>
            <w:tcW w:w="1276" w:type="dxa"/>
            <w:vAlign w:val="center"/>
          </w:tcPr>
          <w:p>
            <w:pPr>
              <w:pStyle w:val="单元格样式2"/>
            </w:pPr>
            <w:r>
              <w:t xml:space="preserve">高阳县人民政府编号X66号文件关于贯彻落实《保定市人民政府关于贯彻《河北省专职消防队伍建设管理办法》的实施意见》</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及时发放性</w:t>
            </w:r>
          </w:p>
        </w:tc>
        <w:tc>
          <w:tcPr>
            <w:tcW w:w="5386" w:type="dxa"/>
            <w:vAlign w:val="center"/>
          </w:tcPr>
          <w:p>
            <w:pPr>
              <w:pStyle w:val="单元格样式2"/>
            </w:pPr>
            <w:r>
              <w:t xml:space="preserve">按月及时发放工资、缴纳保险</w:t>
            </w:r>
          </w:p>
        </w:tc>
        <w:tc>
          <w:tcPr>
            <w:tcW w:w="2268" w:type="dxa"/>
            <w:vAlign w:val="center"/>
          </w:tcPr>
          <w:p>
            <w:pPr>
              <w:pStyle w:val="单元格样式2"/>
            </w:pPr>
            <w:r>
              <w:t xml:space="preserve">按月及时发放工资、缴纳保险</w:t>
            </w:r>
          </w:p>
        </w:tc>
        <w:tc>
          <w:tcPr>
            <w:tcW w:w="1276" w:type="dxa"/>
            <w:vAlign w:val="center"/>
          </w:tcPr>
          <w:p>
            <w:pPr>
              <w:pStyle w:val="单元格样式2"/>
            </w:pPr>
            <w:r>
              <w:t xml:space="preserve">高阳县人民政府编号X66号文件关于贯彻落实《保定市人民政府关于贯彻《河北省专职消防队伍建设管理办法》的实施意见》</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不超预算支出</w:t>
            </w:r>
          </w:p>
        </w:tc>
        <w:tc>
          <w:tcPr>
            <w:tcW w:w="5386" w:type="dxa"/>
            <w:vAlign w:val="center"/>
          </w:tcPr>
          <w:p>
            <w:pPr>
              <w:pStyle w:val="单元格样式2"/>
            </w:pPr>
            <w:r>
              <w:t xml:space="preserve">不超预算支出</w:t>
            </w:r>
          </w:p>
        </w:tc>
        <w:tc>
          <w:tcPr>
            <w:tcW w:w="2268" w:type="dxa"/>
            <w:vAlign w:val="center"/>
          </w:tcPr>
          <w:p>
            <w:pPr>
              <w:pStyle w:val="单元格样式2"/>
            </w:pPr>
            <w:r>
              <w:t xml:space="preserve">100%</w:t>
            </w:r>
          </w:p>
        </w:tc>
        <w:tc>
          <w:tcPr>
            <w:tcW w:w="1276" w:type="dxa"/>
            <w:vAlign w:val="center"/>
          </w:tcPr>
          <w:p>
            <w:pPr>
              <w:pStyle w:val="单元格样式2"/>
            </w:pPr>
            <w:r>
              <w:t xml:space="preserve">高阳县人民政府编号X66号文件关于贯彻落实《保定市人民政府关于贯彻《河北省专职消防队伍建设管理办法》的实施意见》</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队伍稳定</w:t>
            </w:r>
          </w:p>
        </w:tc>
        <w:tc>
          <w:tcPr>
            <w:tcW w:w="5386" w:type="dxa"/>
            <w:vAlign w:val="center"/>
          </w:tcPr>
          <w:p>
            <w:pPr>
              <w:pStyle w:val="单元格样式2"/>
            </w:pPr>
            <w:r>
              <w:t xml:space="preserve">保障政府专职消防队队伍稳定</w:t>
            </w:r>
          </w:p>
        </w:tc>
        <w:tc>
          <w:tcPr>
            <w:tcW w:w="2268" w:type="dxa"/>
            <w:vAlign w:val="center"/>
          </w:tcPr>
          <w:p>
            <w:pPr>
              <w:pStyle w:val="单元格样式2"/>
            </w:pPr>
            <w:r>
              <w:t xml:space="preserve">保障政府专职消防队队伍稳定</w:t>
            </w:r>
          </w:p>
        </w:tc>
        <w:tc>
          <w:tcPr>
            <w:tcW w:w="1276" w:type="dxa"/>
            <w:vAlign w:val="center"/>
          </w:tcPr>
          <w:p>
            <w:pPr>
              <w:pStyle w:val="单元格样式2"/>
            </w:pPr>
            <w:r>
              <w:t xml:space="preserve">高阳县人民政府编号X66号文件关于贯彻落实《保定市人民政府关于贯彻《河北省专职消防队伍建设管理办法》的实施意见》</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服务对象满意度指标</w:t>
            </w:r>
          </w:p>
        </w:tc>
        <w:tc>
          <w:tcPr>
            <w:tcW w:w="5386" w:type="dxa"/>
            <w:vAlign w:val="center"/>
          </w:tcPr>
          <w:p>
            <w:pPr>
              <w:pStyle w:val="单元格样式2"/>
            </w:pPr>
            <w:r>
              <w:t xml:space="preserve">服务对象满意度指标</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4、消防改革性和奖励性补贴绩效目标表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13062826P002GQ410008D</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消防改革性和奖励性补贴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37.00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37.00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国家消防救援队伍人员改革性、奖励性补贴</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9.25</w:t>
            </w:r>
          </w:p>
        </w:tc>
        <w:tc>
          <w:tcPr>
            <w:tcW w:w="2835" w:type="dxa"/>
            <w:vAlign w:val="center"/>
          </w:tcPr>
          <w:p>
            <w:pPr>
              <w:pStyle w:val="单元格样式3"/>
            </w:pPr>
            <w:r>
              <w:t xml:space="preserve">18.50</w:t>
            </w:r>
          </w:p>
        </w:tc>
        <w:tc>
          <w:tcPr>
            <w:tcW w:w="2551" w:type="dxa"/>
            <w:vAlign w:val="center"/>
          </w:tcPr>
          <w:p>
            <w:pPr>
              <w:pStyle w:val="单元格样式3"/>
            </w:pPr>
            <w:r>
              <w:t xml:space="preserve">27.75</w:t>
            </w:r>
          </w:p>
        </w:tc>
        <w:tc>
          <w:tcPr>
            <w:tcW w:w="3544" w:type="dxa"/>
            <w:gridSpan w:val="2"/>
            <w:vAlign w:val="center"/>
          </w:tcPr>
          <w:p>
            <w:pPr>
              <w:pStyle w:val="单元格样式3"/>
            </w:pPr>
            <w:r>
              <w:t xml:space="preserve">37.00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1.保障国家综合性消防救援队伍人员改革性补贴、奖励性补贴落实到位。</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发放人数</w:t>
            </w:r>
          </w:p>
        </w:tc>
        <w:tc>
          <w:tcPr>
            <w:tcW w:w="5386" w:type="dxa"/>
            <w:vAlign w:val="center"/>
          </w:tcPr>
          <w:p>
            <w:pPr>
              <w:pStyle w:val="单元格样式2"/>
            </w:pPr>
            <w:r>
              <w:t xml:space="preserve">改革性奖励性补贴发放人数</w:t>
            </w:r>
          </w:p>
        </w:tc>
        <w:tc>
          <w:tcPr>
            <w:tcW w:w="2268" w:type="dxa"/>
            <w:vAlign w:val="center"/>
          </w:tcPr>
          <w:p>
            <w:pPr>
              <w:pStyle w:val="单元格样式2"/>
            </w:pPr>
            <w:r>
              <w:t xml:space="preserve">8人</w:t>
            </w:r>
          </w:p>
        </w:tc>
        <w:tc>
          <w:tcPr>
            <w:tcW w:w="1276" w:type="dxa"/>
            <w:vAlign w:val="center"/>
          </w:tcPr>
          <w:p>
            <w:pPr>
              <w:pStyle w:val="单元格样式2"/>
            </w:pPr>
            <w:r>
              <w:t xml:space="preserve">冀财建【2020】248号《驻河北省国家综合性消防救援队伍经费管理实施细则》的通知（秘密）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发放准确率</w:t>
            </w:r>
          </w:p>
        </w:tc>
        <w:tc>
          <w:tcPr>
            <w:tcW w:w="5386" w:type="dxa"/>
            <w:vAlign w:val="center"/>
          </w:tcPr>
          <w:p>
            <w:pPr>
              <w:pStyle w:val="单元格样式2"/>
            </w:pPr>
            <w:r>
              <w:t xml:space="preserve">改革性奖励性补贴发放准确率</w:t>
            </w:r>
          </w:p>
        </w:tc>
        <w:tc>
          <w:tcPr>
            <w:tcW w:w="2268" w:type="dxa"/>
            <w:vAlign w:val="center"/>
          </w:tcPr>
          <w:p>
            <w:pPr>
              <w:pStyle w:val="单元格样式2"/>
            </w:pPr>
            <w:r>
              <w:t xml:space="preserve">≥95%</w:t>
            </w:r>
          </w:p>
        </w:tc>
        <w:tc>
          <w:tcPr>
            <w:tcW w:w="1276" w:type="dxa"/>
            <w:vAlign w:val="center"/>
          </w:tcPr>
          <w:p>
            <w:pPr>
              <w:pStyle w:val="单元格样式2"/>
            </w:pPr>
            <w:r>
              <w:t xml:space="preserve">冀财建【2020】248号《驻河北省国家综合性消防救援队伍经费管理实施细则》的通知（秘密）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发放完成时间</w:t>
            </w:r>
          </w:p>
        </w:tc>
        <w:tc>
          <w:tcPr>
            <w:tcW w:w="5386" w:type="dxa"/>
            <w:vAlign w:val="center"/>
          </w:tcPr>
          <w:p>
            <w:pPr>
              <w:pStyle w:val="单元格样式2"/>
            </w:pPr>
            <w:r>
              <w:t xml:space="preserve">发放完成时间</w:t>
            </w:r>
          </w:p>
        </w:tc>
        <w:tc>
          <w:tcPr>
            <w:tcW w:w="2268" w:type="dxa"/>
            <w:vAlign w:val="center"/>
          </w:tcPr>
          <w:p>
            <w:pPr>
              <w:pStyle w:val="单元格样式2"/>
            </w:pPr>
            <w:r>
              <w:t xml:space="preserve">按月及时发放改革性奖励性补贴</w:t>
            </w:r>
          </w:p>
        </w:tc>
        <w:tc>
          <w:tcPr>
            <w:tcW w:w="1276" w:type="dxa"/>
            <w:vAlign w:val="center"/>
          </w:tcPr>
          <w:p>
            <w:pPr>
              <w:pStyle w:val="单元格样式2"/>
            </w:pPr>
            <w:r>
              <w:t xml:space="preserve">冀财建【2020】248号《驻河北省国家综合性消防救援队伍经费管理实施细则》的通知（秘密）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发放标准</w:t>
            </w:r>
          </w:p>
        </w:tc>
        <w:tc>
          <w:tcPr>
            <w:tcW w:w="5386" w:type="dxa"/>
            <w:vAlign w:val="center"/>
          </w:tcPr>
          <w:p>
            <w:pPr>
              <w:pStyle w:val="单元格样式2"/>
            </w:pPr>
            <w:r>
              <w:t xml:space="preserve">补贴发放标准</w:t>
            </w:r>
          </w:p>
        </w:tc>
        <w:tc>
          <w:tcPr>
            <w:tcW w:w="2268" w:type="dxa"/>
            <w:vAlign w:val="center"/>
          </w:tcPr>
          <w:p>
            <w:pPr>
              <w:pStyle w:val="单元格样式2"/>
            </w:pPr>
            <w:r>
              <w:t xml:space="preserve">严格按照标准发放改革性奖励性补贴</w:t>
            </w:r>
          </w:p>
        </w:tc>
        <w:tc>
          <w:tcPr>
            <w:tcW w:w="1276" w:type="dxa"/>
            <w:vAlign w:val="center"/>
          </w:tcPr>
          <w:p>
            <w:pPr>
              <w:pStyle w:val="单元格样式2"/>
            </w:pPr>
            <w:r>
              <w:t xml:space="preserve">冀财建【2020】248号《驻河北省国家综合性消防救援队伍经费管理实施细则》的通知（秘密）</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工作开展持续性</w:t>
            </w:r>
          </w:p>
        </w:tc>
        <w:tc>
          <w:tcPr>
            <w:tcW w:w="5386" w:type="dxa"/>
            <w:vAlign w:val="center"/>
          </w:tcPr>
          <w:p>
            <w:pPr>
              <w:pStyle w:val="单元格样式2"/>
            </w:pPr>
            <w:r>
              <w:t xml:space="preserve">保持消防队伍稳定，更好的开展各项工作</w:t>
            </w:r>
          </w:p>
        </w:tc>
        <w:tc>
          <w:tcPr>
            <w:tcW w:w="2268" w:type="dxa"/>
            <w:vAlign w:val="center"/>
          </w:tcPr>
          <w:p>
            <w:pPr>
              <w:pStyle w:val="单元格样式2"/>
            </w:pPr>
            <w:r>
              <w:t xml:space="preserve">≥95%</w:t>
            </w:r>
          </w:p>
        </w:tc>
        <w:tc>
          <w:tcPr>
            <w:tcW w:w="1276" w:type="dxa"/>
            <w:vAlign w:val="center"/>
          </w:tcPr>
          <w:p>
            <w:pPr>
              <w:pStyle w:val="单元格样式2"/>
            </w:pPr>
            <w:r>
              <w:t xml:space="preserve">冀财建【2020】248号《驻河北省国家综合性消防救援队伍经费管理实施细则》的通知（秘密）</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服务对象的满意度</w:t>
            </w:r>
          </w:p>
        </w:tc>
        <w:tc>
          <w:tcPr>
            <w:tcW w:w="5386" w:type="dxa"/>
            <w:vAlign w:val="center"/>
          </w:tcPr>
          <w:p>
            <w:pPr>
              <w:pStyle w:val="单元格样式2"/>
            </w:pPr>
            <w:r>
              <w:t xml:space="preserve">服务对象的满意度</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5、消防改革性和奖励性补贴绩效目标表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13062826P002GQ4100091</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消防改革性和奖励性补贴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国家消防救援队伍人员改革性、奖励性补贴</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5.25</w:t>
            </w:r>
          </w:p>
        </w:tc>
        <w:tc>
          <w:tcPr>
            <w:tcW w:w="2835" w:type="dxa"/>
            <w:vAlign w:val="center"/>
          </w:tcPr>
          <w:p>
            <w:pPr>
              <w:pStyle w:val="单元格样式3"/>
            </w:pPr>
            <w:r>
              <w:t xml:space="preserve">10.50</w:t>
            </w:r>
          </w:p>
        </w:tc>
        <w:tc>
          <w:tcPr>
            <w:tcW w:w="2551" w:type="dxa"/>
            <w:vAlign w:val="center"/>
          </w:tcPr>
          <w:p>
            <w:pPr>
              <w:pStyle w:val="单元格样式3"/>
            </w:pPr>
            <w:r>
              <w:t xml:space="preserve">17.50</w:t>
            </w:r>
          </w:p>
        </w:tc>
        <w:tc>
          <w:tcPr>
            <w:tcW w:w="3544" w:type="dxa"/>
            <w:gridSpan w:val="2"/>
            <w:vAlign w:val="center"/>
          </w:tcPr>
          <w:p>
            <w:pPr>
              <w:pStyle w:val="单元格样式3"/>
            </w:pPr>
            <w:r>
              <w:t xml:space="preserve">21.00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1.国家消防救援队伍人员改革性、奖励性补贴</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补贴发放人数</w:t>
            </w:r>
          </w:p>
        </w:tc>
        <w:tc>
          <w:tcPr>
            <w:tcW w:w="5386" w:type="dxa"/>
            <w:vAlign w:val="center"/>
          </w:tcPr>
          <w:p>
            <w:pPr>
              <w:pStyle w:val="单元格样式2"/>
            </w:pPr>
            <w:r>
              <w:t xml:space="preserve">改革性奖励性补贴发放人数</w:t>
            </w:r>
          </w:p>
        </w:tc>
        <w:tc>
          <w:tcPr>
            <w:tcW w:w="2268" w:type="dxa"/>
            <w:vAlign w:val="center"/>
          </w:tcPr>
          <w:p>
            <w:pPr>
              <w:pStyle w:val="单元格样式2"/>
            </w:pPr>
            <w:r>
              <w:t xml:space="preserve">8人</w:t>
            </w:r>
          </w:p>
        </w:tc>
        <w:tc>
          <w:tcPr>
            <w:tcW w:w="1276" w:type="dxa"/>
            <w:vAlign w:val="center"/>
          </w:tcPr>
          <w:p>
            <w:pPr>
              <w:pStyle w:val="单元格样式2"/>
            </w:pPr>
            <w:r>
              <w:t xml:space="preserve">高阳县财政局</w:t>
            </w:r>
          </w:p>
          <w:p>
            <w:pPr>
              <w:pStyle w:val="单元格样式2"/>
            </w:pPr>
            <w:r>
              <w:t xml:space="preserve">高财预[2025]51号《关于提前下达2026年消防救援队伍改革性补贴等支出的批复》</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发放准确率</w:t>
            </w:r>
          </w:p>
        </w:tc>
        <w:tc>
          <w:tcPr>
            <w:tcW w:w="5386" w:type="dxa"/>
            <w:vAlign w:val="center"/>
          </w:tcPr>
          <w:p>
            <w:pPr>
              <w:pStyle w:val="单元格样式2"/>
            </w:pPr>
            <w:r>
              <w:t xml:space="preserve">改革性奖励性补贴发放准确率</w:t>
            </w:r>
          </w:p>
        </w:tc>
        <w:tc>
          <w:tcPr>
            <w:tcW w:w="2268" w:type="dxa"/>
            <w:vAlign w:val="center"/>
          </w:tcPr>
          <w:p>
            <w:pPr>
              <w:pStyle w:val="单元格样式2"/>
            </w:pPr>
            <w:r>
              <w:t xml:space="preserve">≥95%</w:t>
            </w:r>
          </w:p>
        </w:tc>
        <w:tc>
          <w:tcPr>
            <w:tcW w:w="1276" w:type="dxa"/>
            <w:vAlign w:val="center"/>
          </w:tcPr>
          <w:p>
            <w:pPr>
              <w:pStyle w:val="单元格样式2"/>
            </w:pPr>
            <w:r>
              <w:t xml:space="preserve">高阳县财政局</w:t>
            </w:r>
          </w:p>
          <w:p>
            <w:pPr>
              <w:pStyle w:val="单元格样式2"/>
            </w:pPr>
            <w:r>
              <w:t xml:space="preserve">高财预[2025]51号《关于提前下达2026年消防救援队伍改革性补贴等支出的批复》</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补贴发放标准</w:t>
            </w:r>
          </w:p>
        </w:tc>
        <w:tc>
          <w:tcPr>
            <w:tcW w:w="5386" w:type="dxa"/>
            <w:vAlign w:val="center"/>
          </w:tcPr>
          <w:p>
            <w:pPr>
              <w:pStyle w:val="单元格样式2"/>
            </w:pPr>
            <w:r>
              <w:t xml:space="preserve">补贴发放标准</w:t>
            </w:r>
          </w:p>
        </w:tc>
        <w:tc>
          <w:tcPr>
            <w:tcW w:w="2268" w:type="dxa"/>
            <w:vAlign w:val="center"/>
          </w:tcPr>
          <w:p>
            <w:pPr>
              <w:pStyle w:val="单元格样式2"/>
            </w:pPr>
            <w:r>
              <w:t xml:space="preserve">严格按照标准发放改革性奖励性补贴</w:t>
            </w:r>
          </w:p>
        </w:tc>
        <w:tc>
          <w:tcPr>
            <w:tcW w:w="1276" w:type="dxa"/>
            <w:vAlign w:val="center"/>
          </w:tcPr>
          <w:p>
            <w:pPr>
              <w:pStyle w:val="单元格样式2"/>
            </w:pPr>
            <w:r>
              <w:t xml:space="preserve">高阳县财政局</w:t>
            </w:r>
          </w:p>
          <w:p>
            <w:pPr>
              <w:pStyle w:val="单元格样式2"/>
            </w:pPr>
            <w:r>
              <w:t xml:space="preserve">高财预[2025]51号《关于提前下达2026年消防救援队伍改革性补贴等支出的批复》</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发放完成时间</w:t>
            </w:r>
          </w:p>
        </w:tc>
        <w:tc>
          <w:tcPr>
            <w:tcW w:w="5386" w:type="dxa"/>
            <w:vAlign w:val="center"/>
          </w:tcPr>
          <w:p>
            <w:pPr>
              <w:pStyle w:val="单元格样式2"/>
            </w:pPr>
            <w:r>
              <w:t xml:space="preserve">发放完成时间</w:t>
            </w:r>
          </w:p>
        </w:tc>
        <w:tc>
          <w:tcPr>
            <w:tcW w:w="2268" w:type="dxa"/>
            <w:vAlign w:val="center"/>
          </w:tcPr>
          <w:p>
            <w:pPr>
              <w:pStyle w:val="单元格样式2"/>
            </w:pPr>
            <w:r>
              <w:t xml:space="preserve">严格按照标准发放改革性奖励性补贴</w:t>
            </w:r>
          </w:p>
        </w:tc>
        <w:tc>
          <w:tcPr>
            <w:tcW w:w="1276" w:type="dxa"/>
            <w:vAlign w:val="center"/>
          </w:tcPr>
          <w:p>
            <w:pPr>
              <w:pStyle w:val="单元格样式2"/>
            </w:pPr>
            <w:r>
              <w:t xml:space="preserve">高阳县财政局</w:t>
            </w:r>
          </w:p>
          <w:p>
            <w:pPr>
              <w:pStyle w:val="单元格样式2"/>
            </w:pPr>
            <w:r>
              <w:t xml:space="preserve">高财预[2025]51号《关于提前下达2026年消防救援队伍改革性补贴等支出的批复》</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准确、及时发放补贴，落实指战员工资待遇</w:t>
            </w:r>
          </w:p>
        </w:tc>
        <w:tc>
          <w:tcPr>
            <w:tcW w:w="5386" w:type="dxa"/>
            <w:vAlign w:val="center"/>
          </w:tcPr>
          <w:p>
            <w:pPr>
              <w:pStyle w:val="单元格样式2"/>
            </w:pPr>
            <w:r>
              <w:t xml:space="preserve">保持消防救援队伍稳定</w:t>
            </w:r>
          </w:p>
        </w:tc>
        <w:tc>
          <w:tcPr>
            <w:tcW w:w="2268" w:type="dxa"/>
            <w:vAlign w:val="center"/>
          </w:tcPr>
          <w:p>
            <w:pPr>
              <w:pStyle w:val="单元格样式2"/>
            </w:pPr>
            <w:r>
              <w:t xml:space="preserve">≥95%</w:t>
            </w:r>
          </w:p>
        </w:tc>
        <w:tc>
          <w:tcPr>
            <w:tcW w:w="1276" w:type="dxa"/>
            <w:vAlign w:val="center"/>
          </w:tcPr>
          <w:p>
            <w:pPr>
              <w:pStyle w:val="单元格样式2"/>
            </w:pPr>
            <w:r>
              <w:t xml:space="preserve">高阳县财政局</w:t>
            </w:r>
          </w:p>
          <w:p>
            <w:pPr>
              <w:pStyle w:val="单元格样式2"/>
            </w:pPr>
            <w:r>
              <w:t xml:space="preserve">高财预[2025]51号《关于提前下达2026年消防救援队伍改革性补贴等支出的批复》</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指战员满意度</w:t>
            </w:r>
          </w:p>
        </w:tc>
        <w:tc>
          <w:tcPr>
            <w:tcW w:w="5386" w:type="dxa"/>
            <w:vAlign w:val="center"/>
          </w:tcPr>
          <w:p>
            <w:pPr>
              <w:pStyle w:val="单元格样式2"/>
            </w:pPr>
            <w:r>
              <w:t xml:space="preserve">指战员反馈满意度占调查人数比率</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eastAsia="黑体" w:hAnsi="黑体" w:cs="黑体"/>
          <w:color w:val="000000"/>
          <w:sz w:val="32"/>
        </w:rPr>
        <w:t xml:space="preserve">八、政府采购预算情况</w:t>
      </w:r>
      <w:bookmarkEnd w:id="16"/>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部门政府采购预算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993高阳县消防救援大队</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2"/>
      </w:pPr>
      <w:bookmarkStart w:id="17" w:name="_Toc_3_3_0000000018"/>
      <w:r>
        <w:rPr>
          <w:rFonts w:ascii="黑体" w:eastAsia="黑体" w:hAnsi="黑体" w:cs="黑体"/>
          <w:color w:val="000000"/>
          <w:sz w:val="32"/>
        </w:rPr>
        <w:t xml:space="preserve">九、国有资产信息</w:t>
      </w:r>
      <w:bookmarkEnd w:id="17"/>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高阳县消防救援大队（含所属单位）上年末固定资产金额为0.00万元（详见下表）。本年度拟购置固定资产总额为0.00万元，已按要求列入政府采购预算，详见政府采购预算表。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部门固定资产占用情况表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993高阳县消防救援大队</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p>
        </w:tc>
        <w:tc>
          <w:tcPr>
            <w:tcW w:w="2835" w:type="dxa"/>
            <w:vAlign w:val="center"/>
          </w:tcPr>
          <w:p>
            <w:pPr>
              <w:pStyle w:val="单元格样式4"/>
            </w:pPr>
          </w:p>
        </w:tc>
      </w:tr>
    </w:tbl>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注：无固定资产占用情况，空表列示。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2"/>
      </w:pPr>
      <w:bookmarkStart w:id="18" w:name="_Toc_3_3_0000000019"/>
      <w:r>
        <w:rPr>
          <w:rFonts w:ascii="黑体" w:eastAsia="黑体" w:hAnsi="黑体" w:cs="黑体"/>
          <w:color w:val="000000"/>
          <w:sz w:val="32"/>
        </w:rPr>
        <w:t xml:space="preserve">十、名词解释</w:t>
      </w:r>
      <w:bookmarkEnd w:id="18"/>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部门预算支出：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eastAsia="黑体" w:hAnsi="黑体" w:cs="黑体"/>
          <w:color w:val="000000"/>
          <w:sz w:val="32"/>
        </w:rPr>
        <w:t xml:space="preserve">十一、其他需要说明的事项</w:t>
      </w:r>
      <w:bookmarkEnd w:id="19"/>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我部门无其他需要说明的事项。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32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31</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paragraph" w:styleId="单元格样式22">
    <w:name w:val="单元格样式22"/>
    <w:basedOn w:val="Normal"/>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basedOn w:val="Normal"/>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插入文本样式-插入预算公开部门职责文件">
    <w:name w:val="插入文本样式-插入预算公开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预算安排的总体情况文件">
    <w:name w:val="插入文本样式-插入预算公开部门预算安排的总体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机关运行经费安排情况文件">
    <w:name w:val="插入文本样式-插入预算公开部门机关运行经费安排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财政拨款三公经费预算情况及增减变化原因文件">
    <w:name w:val="插入文本样式-插入预算公开部门财政拨款三公经费预算情况及增减变化原因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styleId="TableGrid">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2">
    <w:name w:val="TOC 2"/>
    <w:basedOn w:val="Normal"/>
    <w:qFormat/>
    <w:pPr>
      <w:ind w:left="240"/>
    </w:pPr>
  </w:style>
  <w:style w:type="paragraph" w:styleId="TOC3">
    <w:name w:val="TOC 3"/>
    <w:basedOn w:val="Normal"/>
    <w:qFormat/>
    <w:pPr>
      <w:ind w:left="48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34</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2026-03-11T12:12:02Z</dcterms:created>
  <dcterms:modified xsi:type="dcterms:W3CDTF">2026-03-11T12:12:02Z</dcterms:modified>
</cp:coreProperties>
</file>