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324高阳县自然资源和规划局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2620.40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500.00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116.30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1267.80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61.60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1653.72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3120.40</w:t>
            </w:r>
          </w:p>
        </w:tc>
        <w:tc>
          <w:tcPr>
            <w:tcW w:w="4535" w:type="dxa"/>
            <w:vAlign w:val="center"/>
          </w:tcPr>
          <w:p>
            <w:pPr>
              <w:pStyle w:val="15"/>
            </w:pPr>
            <w:r>
              <w:t>本年支出合计</w:t>
            </w:r>
          </w:p>
        </w:tc>
        <w:tc>
          <w:tcPr>
            <w:tcW w:w="2126" w:type="dxa"/>
            <w:vAlign w:val="center"/>
          </w:tcPr>
          <w:p>
            <w:pPr>
              <w:pStyle w:val="16"/>
            </w:pPr>
            <w:r>
              <w:t>3120.40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3120.40</w:t>
            </w:r>
          </w:p>
        </w:tc>
        <w:tc>
          <w:tcPr>
            <w:tcW w:w="4535" w:type="dxa"/>
            <w:vAlign w:val="center"/>
          </w:tcPr>
          <w:p>
            <w:pPr>
              <w:pStyle w:val="15"/>
            </w:pPr>
            <w:r>
              <w:t>支出总计</w:t>
            </w:r>
          </w:p>
        </w:tc>
        <w:tc>
          <w:tcPr>
            <w:tcW w:w="2126" w:type="dxa"/>
            <w:vAlign w:val="center"/>
          </w:tcPr>
          <w:p>
            <w:pPr>
              <w:pStyle w:val="16"/>
            </w:pPr>
            <w:r>
              <w:t>3120.40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324高阳县自然资源和规划局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3120.40</w:t>
            </w:r>
          </w:p>
        </w:tc>
        <w:tc>
          <w:tcPr>
            <w:tcW w:w="1134" w:type="dxa"/>
            <w:vAlign w:val="center"/>
          </w:tcPr>
          <w:p>
            <w:pPr>
              <w:pStyle w:val="16"/>
            </w:pPr>
            <w:r>
              <w:t>3120.40</w:t>
            </w:r>
          </w:p>
        </w:tc>
        <w:tc>
          <w:tcPr>
            <w:tcW w:w="1134" w:type="dxa"/>
            <w:vAlign w:val="center"/>
          </w:tcPr>
          <w:p>
            <w:pPr>
              <w:pStyle w:val="16"/>
            </w:pPr>
            <w:r>
              <w:t>3120.40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116.30</w:t>
            </w:r>
          </w:p>
        </w:tc>
        <w:tc>
          <w:tcPr>
            <w:tcW w:w="1134" w:type="dxa"/>
            <w:vAlign w:val="center"/>
          </w:tcPr>
          <w:p>
            <w:pPr>
              <w:pStyle w:val="12"/>
            </w:pPr>
            <w:r>
              <w:t>116.30</w:t>
            </w:r>
          </w:p>
        </w:tc>
        <w:tc>
          <w:tcPr>
            <w:tcW w:w="1134" w:type="dxa"/>
            <w:vAlign w:val="center"/>
          </w:tcPr>
          <w:p>
            <w:pPr>
              <w:pStyle w:val="12"/>
            </w:pPr>
            <w:r>
              <w:t>116.30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113.90</w:t>
            </w:r>
          </w:p>
        </w:tc>
        <w:tc>
          <w:tcPr>
            <w:tcW w:w="1134" w:type="dxa"/>
            <w:vAlign w:val="center"/>
          </w:tcPr>
          <w:p>
            <w:pPr>
              <w:pStyle w:val="12"/>
            </w:pPr>
            <w:r>
              <w:t>113.90</w:t>
            </w:r>
          </w:p>
        </w:tc>
        <w:tc>
          <w:tcPr>
            <w:tcW w:w="1134" w:type="dxa"/>
            <w:vAlign w:val="center"/>
          </w:tcPr>
          <w:p>
            <w:pPr>
              <w:pStyle w:val="12"/>
            </w:pPr>
            <w:r>
              <w:t>113.90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84.39</w:t>
            </w:r>
          </w:p>
        </w:tc>
        <w:tc>
          <w:tcPr>
            <w:tcW w:w="1134" w:type="dxa"/>
            <w:vAlign w:val="center"/>
          </w:tcPr>
          <w:p>
            <w:pPr>
              <w:pStyle w:val="12"/>
            </w:pPr>
            <w:r>
              <w:t>84.39</w:t>
            </w:r>
          </w:p>
        </w:tc>
        <w:tc>
          <w:tcPr>
            <w:tcW w:w="1134" w:type="dxa"/>
            <w:vAlign w:val="center"/>
          </w:tcPr>
          <w:p>
            <w:pPr>
              <w:pStyle w:val="12"/>
            </w:pPr>
            <w:r>
              <w:t>84.39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19.67</w:t>
            </w:r>
          </w:p>
        </w:tc>
        <w:tc>
          <w:tcPr>
            <w:tcW w:w="1134" w:type="dxa"/>
            <w:vAlign w:val="center"/>
          </w:tcPr>
          <w:p>
            <w:pPr>
              <w:pStyle w:val="12"/>
            </w:pPr>
            <w:r>
              <w:t>19.67</w:t>
            </w:r>
          </w:p>
        </w:tc>
        <w:tc>
          <w:tcPr>
            <w:tcW w:w="1134" w:type="dxa"/>
            <w:vAlign w:val="center"/>
          </w:tcPr>
          <w:p>
            <w:pPr>
              <w:pStyle w:val="12"/>
            </w:pPr>
            <w:r>
              <w:t>19.67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9.84</w:t>
            </w:r>
          </w:p>
        </w:tc>
        <w:tc>
          <w:tcPr>
            <w:tcW w:w="1134" w:type="dxa"/>
            <w:vAlign w:val="center"/>
          </w:tcPr>
          <w:p>
            <w:pPr>
              <w:pStyle w:val="12"/>
            </w:pPr>
            <w:r>
              <w:t>9.84</w:t>
            </w:r>
          </w:p>
        </w:tc>
        <w:tc>
          <w:tcPr>
            <w:tcW w:w="1134" w:type="dxa"/>
            <w:vAlign w:val="center"/>
          </w:tcPr>
          <w:p>
            <w:pPr>
              <w:pStyle w:val="12"/>
            </w:pPr>
            <w:r>
              <w:t>9.84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2.40</w:t>
            </w:r>
          </w:p>
        </w:tc>
        <w:tc>
          <w:tcPr>
            <w:tcW w:w="1134" w:type="dxa"/>
            <w:vAlign w:val="center"/>
          </w:tcPr>
          <w:p>
            <w:pPr>
              <w:pStyle w:val="12"/>
            </w:pPr>
            <w:r>
              <w:t>2.40</w:t>
            </w:r>
          </w:p>
        </w:tc>
        <w:tc>
          <w:tcPr>
            <w:tcW w:w="1134" w:type="dxa"/>
            <w:vAlign w:val="center"/>
          </w:tcPr>
          <w:p>
            <w:pPr>
              <w:pStyle w:val="12"/>
            </w:pPr>
            <w:r>
              <w:t>2.40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2.40</w:t>
            </w:r>
          </w:p>
        </w:tc>
        <w:tc>
          <w:tcPr>
            <w:tcW w:w="1134" w:type="dxa"/>
            <w:vAlign w:val="center"/>
          </w:tcPr>
          <w:p>
            <w:pPr>
              <w:pStyle w:val="12"/>
            </w:pPr>
            <w:r>
              <w:t>2.40</w:t>
            </w:r>
          </w:p>
        </w:tc>
        <w:tc>
          <w:tcPr>
            <w:tcW w:w="1134" w:type="dxa"/>
            <w:vAlign w:val="center"/>
          </w:tcPr>
          <w:p>
            <w:pPr>
              <w:pStyle w:val="12"/>
            </w:pPr>
            <w:r>
              <w:t>2.40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8.20</w:t>
            </w:r>
          </w:p>
        </w:tc>
        <w:tc>
          <w:tcPr>
            <w:tcW w:w="1134" w:type="dxa"/>
            <w:vAlign w:val="center"/>
          </w:tcPr>
          <w:p>
            <w:pPr>
              <w:pStyle w:val="12"/>
            </w:pPr>
            <w:r>
              <w:t>8.20</w:t>
            </w:r>
          </w:p>
        </w:tc>
        <w:tc>
          <w:tcPr>
            <w:tcW w:w="1134" w:type="dxa"/>
            <w:vAlign w:val="center"/>
          </w:tcPr>
          <w:p>
            <w:pPr>
              <w:pStyle w:val="12"/>
            </w:pPr>
            <w:r>
              <w:t>8.20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8.20</w:t>
            </w:r>
          </w:p>
        </w:tc>
        <w:tc>
          <w:tcPr>
            <w:tcW w:w="1134" w:type="dxa"/>
            <w:vAlign w:val="center"/>
          </w:tcPr>
          <w:p>
            <w:pPr>
              <w:pStyle w:val="12"/>
            </w:pPr>
            <w:r>
              <w:t>8.20</w:t>
            </w:r>
          </w:p>
        </w:tc>
        <w:tc>
          <w:tcPr>
            <w:tcW w:w="1134" w:type="dxa"/>
            <w:vAlign w:val="center"/>
          </w:tcPr>
          <w:p>
            <w:pPr>
              <w:pStyle w:val="12"/>
            </w:pPr>
            <w:r>
              <w:t>8.20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5.98</w:t>
            </w:r>
          </w:p>
        </w:tc>
        <w:tc>
          <w:tcPr>
            <w:tcW w:w="1134" w:type="dxa"/>
            <w:vAlign w:val="center"/>
          </w:tcPr>
          <w:p>
            <w:pPr>
              <w:pStyle w:val="12"/>
            </w:pPr>
            <w:r>
              <w:t>5.98</w:t>
            </w:r>
          </w:p>
        </w:tc>
        <w:tc>
          <w:tcPr>
            <w:tcW w:w="1134" w:type="dxa"/>
            <w:vAlign w:val="center"/>
          </w:tcPr>
          <w:p>
            <w:pPr>
              <w:pStyle w:val="12"/>
            </w:pPr>
            <w:r>
              <w:t>5.98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2.22</w:t>
            </w:r>
          </w:p>
        </w:tc>
        <w:tc>
          <w:tcPr>
            <w:tcW w:w="1134" w:type="dxa"/>
            <w:vAlign w:val="center"/>
          </w:tcPr>
          <w:p>
            <w:pPr>
              <w:pStyle w:val="12"/>
            </w:pPr>
            <w:r>
              <w:t>2.22</w:t>
            </w:r>
          </w:p>
        </w:tc>
        <w:tc>
          <w:tcPr>
            <w:tcW w:w="1134" w:type="dxa"/>
            <w:vAlign w:val="center"/>
          </w:tcPr>
          <w:p>
            <w:pPr>
              <w:pStyle w:val="12"/>
            </w:pPr>
            <w:r>
              <w:t>2.22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1267.80</w:t>
            </w:r>
          </w:p>
        </w:tc>
        <w:tc>
          <w:tcPr>
            <w:tcW w:w="1134" w:type="dxa"/>
            <w:vAlign w:val="center"/>
          </w:tcPr>
          <w:p>
            <w:pPr>
              <w:pStyle w:val="12"/>
            </w:pPr>
            <w:r>
              <w:t>1267.80</w:t>
            </w:r>
          </w:p>
        </w:tc>
        <w:tc>
          <w:tcPr>
            <w:tcW w:w="1134" w:type="dxa"/>
            <w:vAlign w:val="center"/>
          </w:tcPr>
          <w:p>
            <w:pPr>
              <w:pStyle w:val="12"/>
            </w:pPr>
            <w:r>
              <w:t>1267.80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21202</w:t>
            </w:r>
          </w:p>
        </w:tc>
        <w:tc>
          <w:tcPr>
            <w:tcW w:w="1559" w:type="dxa"/>
            <w:vAlign w:val="center"/>
          </w:tcPr>
          <w:p>
            <w:pPr>
              <w:pStyle w:val="13"/>
            </w:pPr>
            <w:r>
              <w:t>城乡社区规划与管理</w:t>
            </w:r>
          </w:p>
        </w:tc>
        <w:tc>
          <w:tcPr>
            <w:tcW w:w="1134" w:type="dxa"/>
            <w:vAlign w:val="center"/>
          </w:tcPr>
          <w:p>
            <w:pPr>
              <w:pStyle w:val="12"/>
            </w:pPr>
            <w:r>
              <w:t>767.80</w:t>
            </w:r>
          </w:p>
        </w:tc>
        <w:tc>
          <w:tcPr>
            <w:tcW w:w="1134" w:type="dxa"/>
            <w:vAlign w:val="center"/>
          </w:tcPr>
          <w:p>
            <w:pPr>
              <w:pStyle w:val="12"/>
            </w:pPr>
            <w:r>
              <w:t>767.80</w:t>
            </w:r>
          </w:p>
        </w:tc>
        <w:tc>
          <w:tcPr>
            <w:tcW w:w="1134" w:type="dxa"/>
            <w:vAlign w:val="center"/>
          </w:tcPr>
          <w:p>
            <w:pPr>
              <w:pStyle w:val="12"/>
            </w:pPr>
            <w:r>
              <w:t>767.80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2120201</w:t>
            </w:r>
          </w:p>
        </w:tc>
        <w:tc>
          <w:tcPr>
            <w:tcW w:w="1559" w:type="dxa"/>
            <w:vAlign w:val="center"/>
          </w:tcPr>
          <w:p>
            <w:pPr>
              <w:pStyle w:val="13"/>
            </w:pPr>
            <w:r>
              <w:t>城乡社区规划与管理</w:t>
            </w:r>
          </w:p>
        </w:tc>
        <w:tc>
          <w:tcPr>
            <w:tcW w:w="1134" w:type="dxa"/>
            <w:vAlign w:val="center"/>
          </w:tcPr>
          <w:p>
            <w:pPr>
              <w:pStyle w:val="12"/>
            </w:pPr>
            <w:r>
              <w:t>767.80</w:t>
            </w:r>
          </w:p>
        </w:tc>
        <w:tc>
          <w:tcPr>
            <w:tcW w:w="1134" w:type="dxa"/>
            <w:vAlign w:val="center"/>
          </w:tcPr>
          <w:p>
            <w:pPr>
              <w:pStyle w:val="12"/>
            </w:pPr>
            <w:r>
              <w:t>767.80</w:t>
            </w:r>
          </w:p>
        </w:tc>
        <w:tc>
          <w:tcPr>
            <w:tcW w:w="1134" w:type="dxa"/>
            <w:vAlign w:val="center"/>
          </w:tcPr>
          <w:p>
            <w:pPr>
              <w:pStyle w:val="12"/>
            </w:pPr>
            <w:r>
              <w:t>767.80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2120802</w:t>
            </w:r>
          </w:p>
        </w:tc>
        <w:tc>
          <w:tcPr>
            <w:tcW w:w="1559" w:type="dxa"/>
            <w:vAlign w:val="center"/>
          </w:tcPr>
          <w:p>
            <w:pPr>
              <w:pStyle w:val="13"/>
            </w:pPr>
            <w:r>
              <w:t>土地开发支出</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2120805</w:t>
            </w:r>
          </w:p>
        </w:tc>
        <w:tc>
          <w:tcPr>
            <w:tcW w:w="1559" w:type="dxa"/>
            <w:vAlign w:val="center"/>
          </w:tcPr>
          <w:p>
            <w:pPr>
              <w:pStyle w:val="13"/>
            </w:pPr>
            <w:r>
              <w:t>补助被征地农民支出</w:t>
            </w:r>
          </w:p>
        </w:tc>
        <w:tc>
          <w:tcPr>
            <w:tcW w:w="1134" w:type="dxa"/>
            <w:vAlign w:val="center"/>
          </w:tcPr>
          <w:p>
            <w:pPr>
              <w:pStyle w:val="12"/>
            </w:pPr>
            <w:r>
              <w:t>300.00</w:t>
            </w:r>
          </w:p>
        </w:tc>
        <w:tc>
          <w:tcPr>
            <w:tcW w:w="1134" w:type="dxa"/>
            <w:vAlign w:val="center"/>
          </w:tcPr>
          <w:p>
            <w:pPr>
              <w:pStyle w:val="12"/>
            </w:pPr>
            <w:r>
              <w:t>300.00</w:t>
            </w:r>
          </w:p>
        </w:tc>
        <w:tc>
          <w:tcPr>
            <w:tcW w:w="1134" w:type="dxa"/>
            <w:vAlign w:val="center"/>
          </w:tcPr>
          <w:p>
            <w:pPr>
              <w:pStyle w:val="12"/>
            </w:pPr>
            <w:r>
              <w:t>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61.60</w:t>
            </w:r>
          </w:p>
        </w:tc>
        <w:tc>
          <w:tcPr>
            <w:tcW w:w="1134" w:type="dxa"/>
            <w:vAlign w:val="center"/>
          </w:tcPr>
          <w:p>
            <w:pPr>
              <w:pStyle w:val="12"/>
            </w:pPr>
            <w:r>
              <w:t>61.60</w:t>
            </w:r>
          </w:p>
        </w:tc>
        <w:tc>
          <w:tcPr>
            <w:tcW w:w="1134" w:type="dxa"/>
            <w:vAlign w:val="center"/>
          </w:tcPr>
          <w:p>
            <w:pPr>
              <w:pStyle w:val="12"/>
            </w:pPr>
            <w:r>
              <w:t>61.60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61.60</w:t>
            </w:r>
          </w:p>
        </w:tc>
        <w:tc>
          <w:tcPr>
            <w:tcW w:w="1134" w:type="dxa"/>
            <w:vAlign w:val="center"/>
          </w:tcPr>
          <w:p>
            <w:pPr>
              <w:pStyle w:val="12"/>
            </w:pPr>
            <w:r>
              <w:t>61.60</w:t>
            </w:r>
          </w:p>
        </w:tc>
        <w:tc>
          <w:tcPr>
            <w:tcW w:w="1134" w:type="dxa"/>
            <w:vAlign w:val="center"/>
          </w:tcPr>
          <w:p>
            <w:pPr>
              <w:pStyle w:val="12"/>
            </w:pPr>
            <w:r>
              <w:t>61.60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2130205</w:t>
            </w:r>
          </w:p>
        </w:tc>
        <w:tc>
          <w:tcPr>
            <w:tcW w:w="1559" w:type="dxa"/>
            <w:vAlign w:val="center"/>
          </w:tcPr>
          <w:p>
            <w:pPr>
              <w:pStyle w:val="13"/>
            </w:pPr>
            <w:r>
              <w:t>森林资源培育</w:t>
            </w:r>
          </w:p>
        </w:tc>
        <w:tc>
          <w:tcPr>
            <w:tcW w:w="1134" w:type="dxa"/>
            <w:vAlign w:val="center"/>
          </w:tcPr>
          <w:p>
            <w:pPr>
              <w:pStyle w:val="12"/>
            </w:pPr>
            <w:r>
              <w:t>44.00</w:t>
            </w:r>
          </w:p>
        </w:tc>
        <w:tc>
          <w:tcPr>
            <w:tcW w:w="1134" w:type="dxa"/>
            <w:vAlign w:val="center"/>
          </w:tcPr>
          <w:p>
            <w:pPr>
              <w:pStyle w:val="12"/>
            </w:pPr>
            <w:r>
              <w:t>44.00</w:t>
            </w:r>
          </w:p>
        </w:tc>
        <w:tc>
          <w:tcPr>
            <w:tcW w:w="1134" w:type="dxa"/>
            <w:vAlign w:val="center"/>
          </w:tcPr>
          <w:p>
            <w:pPr>
              <w:pStyle w:val="12"/>
            </w:pPr>
            <w:r>
              <w:t>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2130234</w:t>
            </w:r>
          </w:p>
        </w:tc>
        <w:tc>
          <w:tcPr>
            <w:tcW w:w="1559" w:type="dxa"/>
            <w:vAlign w:val="center"/>
          </w:tcPr>
          <w:p>
            <w:pPr>
              <w:pStyle w:val="13"/>
            </w:pPr>
            <w:r>
              <w:t>林业草原防灾减灾</w:t>
            </w:r>
          </w:p>
        </w:tc>
        <w:tc>
          <w:tcPr>
            <w:tcW w:w="1134" w:type="dxa"/>
            <w:vAlign w:val="center"/>
          </w:tcPr>
          <w:p>
            <w:pPr>
              <w:pStyle w:val="12"/>
            </w:pPr>
            <w:r>
              <w:t>17.60</w:t>
            </w:r>
          </w:p>
        </w:tc>
        <w:tc>
          <w:tcPr>
            <w:tcW w:w="1134" w:type="dxa"/>
            <w:vAlign w:val="center"/>
          </w:tcPr>
          <w:p>
            <w:pPr>
              <w:pStyle w:val="12"/>
            </w:pPr>
            <w:r>
              <w:t>17.60</w:t>
            </w:r>
          </w:p>
        </w:tc>
        <w:tc>
          <w:tcPr>
            <w:tcW w:w="1134" w:type="dxa"/>
            <w:vAlign w:val="center"/>
          </w:tcPr>
          <w:p>
            <w:pPr>
              <w:pStyle w:val="12"/>
            </w:pPr>
            <w:r>
              <w:t>17.60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1653.72</w:t>
            </w:r>
          </w:p>
        </w:tc>
        <w:tc>
          <w:tcPr>
            <w:tcW w:w="1134" w:type="dxa"/>
            <w:vAlign w:val="center"/>
          </w:tcPr>
          <w:p>
            <w:pPr>
              <w:pStyle w:val="12"/>
            </w:pPr>
            <w:r>
              <w:t>1653.72</w:t>
            </w:r>
          </w:p>
        </w:tc>
        <w:tc>
          <w:tcPr>
            <w:tcW w:w="1134" w:type="dxa"/>
            <w:vAlign w:val="center"/>
          </w:tcPr>
          <w:p>
            <w:pPr>
              <w:pStyle w:val="12"/>
            </w:pPr>
            <w:r>
              <w:t>1653.72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1653.72</w:t>
            </w:r>
          </w:p>
        </w:tc>
        <w:tc>
          <w:tcPr>
            <w:tcW w:w="1134" w:type="dxa"/>
            <w:vAlign w:val="center"/>
          </w:tcPr>
          <w:p>
            <w:pPr>
              <w:pStyle w:val="12"/>
            </w:pPr>
            <w:r>
              <w:t>1653.72</w:t>
            </w:r>
          </w:p>
        </w:tc>
        <w:tc>
          <w:tcPr>
            <w:tcW w:w="1134" w:type="dxa"/>
            <w:vAlign w:val="center"/>
          </w:tcPr>
          <w:p>
            <w:pPr>
              <w:pStyle w:val="12"/>
            </w:pPr>
            <w:r>
              <w:t>1653.72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2200101</w:t>
            </w:r>
          </w:p>
        </w:tc>
        <w:tc>
          <w:tcPr>
            <w:tcW w:w="1559" w:type="dxa"/>
            <w:vAlign w:val="center"/>
          </w:tcPr>
          <w:p>
            <w:pPr>
              <w:pStyle w:val="13"/>
            </w:pPr>
            <w:r>
              <w:t>行政运行</w:t>
            </w:r>
          </w:p>
        </w:tc>
        <w:tc>
          <w:tcPr>
            <w:tcW w:w="1134" w:type="dxa"/>
            <w:vAlign w:val="center"/>
          </w:tcPr>
          <w:p>
            <w:pPr>
              <w:pStyle w:val="12"/>
            </w:pPr>
            <w:r>
              <w:t>152.36</w:t>
            </w:r>
          </w:p>
        </w:tc>
        <w:tc>
          <w:tcPr>
            <w:tcW w:w="1134" w:type="dxa"/>
            <w:vAlign w:val="center"/>
          </w:tcPr>
          <w:p>
            <w:pPr>
              <w:pStyle w:val="12"/>
            </w:pPr>
            <w:r>
              <w:t>152.36</w:t>
            </w:r>
          </w:p>
        </w:tc>
        <w:tc>
          <w:tcPr>
            <w:tcW w:w="1134" w:type="dxa"/>
            <w:vAlign w:val="center"/>
          </w:tcPr>
          <w:p>
            <w:pPr>
              <w:pStyle w:val="12"/>
            </w:pPr>
            <w:r>
              <w:t>152.36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2200150</w:t>
            </w:r>
          </w:p>
        </w:tc>
        <w:tc>
          <w:tcPr>
            <w:tcW w:w="1559" w:type="dxa"/>
            <w:vAlign w:val="center"/>
          </w:tcPr>
          <w:p>
            <w:pPr>
              <w:pStyle w:val="13"/>
            </w:pPr>
            <w:r>
              <w:t>事业运行</w:t>
            </w:r>
          </w:p>
        </w:tc>
        <w:tc>
          <w:tcPr>
            <w:tcW w:w="1134" w:type="dxa"/>
            <w:vAlign w:val="center"/>
          </w:tcPr>
          <w:p>
            <w:pPr>
              <w:pStyle w:val="12"/>
            </w:pPr>
            <w:r>
              <w:t>1501.36</w:t>
            </w:r>
          </w:p>
        </w:tc>
        <w:tc>
          <w:tcPr>
            <w:tcW w:w="1134" w:type="dxa"/>
            <w:vAlign w:val="center"/>
          </w:tcPr>
          <w:p>
            <w:pPr>
              <w:pStyle w:val="12"/>
            </w:pPr>
            <w:r>
              <w:t>1501.36</w:t>
            </w:r>
          </w:p>
        </w:tc>
        <w:tc>
          <w:tcPr>
            <w:tcW w:w="1134" w:type="dxa"/>
            <w:vAlign w:val="center"/>
          </w:tcPr>
          <w:p>
            <w:pPr>
              <w:pStyle w:val="12"/>
            </w:pPr>
            <w:r>
              <w:t>1501.36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12.78</w:t>
            </w:r>
          </w:p>
        </w:tc>
        <w:tc>
          <w:tcPr>
            <w:tcW w:w="1134" w:type="dxa"/>
            <w:vAlign w:val="center"/>
          </w:tcPr>
          <w:p>
            <w:pPr>
              <w:pStyle w:val="12"/>
            </w:pPr>
            <w:r>
              <w:t>12.78</w:t>
            </w:r>
          </w:p>
        </w:tc>
        <w:tc>
          <w:tcPr>
            <w:tcW w:w="1134" w:type="dxa"/>
            <w:vAlign w:val="center"/>
          </w:tcPr>
          <w:p>
            <w:pPr>
              <w:pStyle w:val="12"/>
            </w:pPr>
            <w:r>
              <w:t>12.78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12.78</w:t>
            </w:r>
          </w:p>
        </w:tc>
        <w:tc>
          <w:tcPr>
            <w:tcW w:w="1134" w:type="dxa"/>
            <w:vAlign w:val="center"/>
          </w:tcPr>
          <w:p>
            <w:pPr>
              <w:pStyle w:val="12"/>
            </w:pPr>
            <w:r>
              <w:t>12.78</w:t>
            </w:r>
          </w:p>
        </w:tc>
        <w:tc>
          <w:tcPr>
            <w:tcW w:w="1134" w:type="dxa"/>
            <w:vAlign w:val="center"/>
          </w:tcPr>
          <w:p>
            <w:pPr>
              <w:pStyle w:val="12"/>
            </w:pPr>
            <w:r>
              <w:t>12.78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12.78</w:t>
            </w:r>
          </w:p>
        </w:tc>
        <w:tc>
          <w:tcPr>
            <w:tcW w:w="1134" w:type="dxa"/>
            <w:vAlign w:val="center"/>
          </w:tcPr>
          <w:p>
            <w:pPr>
              <w:pStyle w:val="12"/>
            </w:pPr>
            <w:r>
              <w:t>12.78</w:t>
            </w:r>
          </w:p>
        </w:tc>
        <w:tc>
          <w:tcPr>
            <w:tcW w:w="1134" w:type="dxa"/>
            <w:vAlign w:val="center"/>
          </w:tcPr>
          <w:p>
            <w:pPr>
              <w:pStyle w:val="12"/>
            </w:pPr>
            <w:r>
              <w:t>12.78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3120.40</w:t>
            </w:r>
          </w:p>
        </w:tc>
        <w:tc>
          <w:tcPr>
            <w:tcW w:w="1361" w:type="dxa"/>
            <w:vAlign w:val="center"/>
          </w:tcPr>
          <w:p>
            <w:pPr>
              <w:pStyle w:val="16"/>
            </w:pPr>
            <w:r>
              <w:t>1791.00</w:t>
            </w:r>
          </w:p>
        </w:tc>
        <w:tc>
          <w:tcPr>
            <w:tcW w:w="1361" w:type="dxa"/>
            <w:vAlign w:val="center"/>
          </w:tcPr>
          <w:p>
            <w:pPr>
              <w:pStyle w:val="16"/>
            </w:pPr>
            <w:r>
              <w:t>1329.40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116.30</w:t>
            </w:r>
          </w:p>
        </w:tc>
        <w:tc>
          <w:tcPr>
            <w:tcW w:w="1361" w:type="dxa"/>
            <w:vAlign w:val="center"/>
          </w:tcPr>
          <w:p>
            <w:pPr>
              <w:pStyle w:val="12"/>
            </w:pPr>
            <w:r>
              <w:t>116.30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113.90</w:t>
            </w:r>
          </w:p>
        </w:tc>
        <w:tc>
          <w:tcPr>
            <w:tcW w:w="1361" w:type="dxa"/>
            <w:vAlign w:val="center"/>
          </w:tcPr>
          <w:p>
            <w:pPr>
              <w:pStyle w:val="12"/>
            </w:pPr>
            <w:r>
              <w:t>113.90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84.39</w:t>
            </w:r>
          </w:p>
        </w:tc>
        <w:tc>
          <w:tcPr>
            <w:tcW w:w="1361" w:type="dxa"/>
            <w:vAlign w:val="center"/>
          </w:tcPr>
          <w:p>
            <w:pPr>
              <w:pStyle w:val="12"/>
            </w:pPr>
            <w:r>
              <w:t>84.39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19.67</w:t>
            </w:r>
          </w:p>
        </w:tc>
        <w:tc>
          <w:tcPr>
            <w:tcW w:w="1361" w:type="dxa"/>
            <w:vAlign w:val="center"/>
          </w:tcPr>
          <w:p>
            <w:pPr>
              <w:pStyle w:val="12"/>
            </w:pPr>
            <w:r>
              <w:t>19.67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9.84</w:t>
            </w:r>
          </w:p>
        </w:tc>
        <w:tc>
          <w:tcPr>
            <w:tcW w:w="1361" w:type="dxa"/>
            <w:vAlign w:val="center"/>
          </w:tcPr>
          <w:p>
            <w:pPr>
              <w:pStyle w:val="12"/>
            </w:pPr>
            <w:r>
              <w:t>9.84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2.40</w:t>
            </w:r>
          </w:p>
        </w:tc>
        <w:tc>
          <w:tcPr>
            <w:tcW w:w="1361" w:type="dxa"/>
            <w:vAlign w:val="center"/>
          </w:tcPr>
          <w:p>
            <w:pPr>
              <w:pStyle w:val="12"/>
            </w:pPr>
            <w:r>
              <w:t>2.40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2.40</w:t>
            </w:r>
          </w:p>
        </w:tc>
        <w:tc>
          <w:tcPr>
            <w:tcW w:w="1361" w:type="dxa"/>
            <w:vAlign w:val="center"/>
          </w:tcPr>
          <w:p>
            <w:pPr>
              <w:pStyle w:val="12"/>
            </w:pPr>
            <w:r>
              <w:t>2.40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8.20</w:t>
            </w:r>
          </w:p>
        </w:tc>
        <w:tc>
          <w:tcPr>
            <w:tcW w:w="1361" w:type="dxa"/>
            <w:vAlign w:val="center"/>
          </w:tcPr>
          <w:p>
            <w:pPr>
              <w:pStyle w:val="12"/>
            </w:pPr>
            <w:r>
              <w:t>8.20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8.20</w:t>
            </w:r>
          </w:p>
        </w:tc>
        <w:tc>
          <w:tcPr>
            <w:tcW w:w="1361" w:type="dxa"/>
            <w:vAlign w:val="center"/>
          </w:tcPr>
          <w:p>
            <w:pPr>
              <w:pStyle w:val="12"/>
            </w:pPr>
            <w:r>
              <w:t>8.20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5.98</w:t>
            </w:r>
          </w:p>
        </w:tc>
        <w:tc>
          <w:tcPr>
            <w:tcW w:w="1361" w:type="dxa"/>
            <w:vAlign w:val="center"/>
          </w:tcPr>
          <w:p>
            <w:pPr>
              <w:pStyle w:val="12"/>
            </w:pPr>
            <w:r>
              <w:t>5.98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2.22</w:t>
            </w:r>
          </w:p>
        </w:tc>
        <w:tc>
          <w:tcPr>
            <w:tcW w:w="1361" w:type="dxa"/>
            <w:vAlign w:val="center"/>
          </w:tcPr>
          <w:p>
            <w:pPr>
              <w:pStyle w:val="12"/>
            </w:pPr>
            <w:r>
              <w:t>2.22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1267.80</w:t>
            </w:r>
          </w:p>
        </w:tc>
        <w:tc>
          <w:tcPr>
            <w:tcW w:w="1361" w:type="dxa"/>
            <w:vAlign w:val="center"/>
          </w:tcPr>
          <w:p>
            <w:pPr>
              <w:pStyle w:val="12"/>
            </w:pPr>
          </w:p>
        </w:tc>
        <w:tc>
          <w:tcPr>
            <w:tcW w:w="1361" w:type="dxa"/>
            <w:vAlign w:val="center"/>
          </w:tcPr>
          <w:p>
            <w:pPr>
              <w:pStyle w:val="12"/>
            </w:pPr>
            <w:r>
              <w:t>1267.80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21202</w:t>
            </w:r>
          </w:p>
        </w:tc>
        <w:tc>
          <w:tcPr>
            <w:tcW w:w="4535" w:type="dxa"/>
            <w:vAlign w:val="center"/>
          </w:tcPr>
          <w:p>
            <w:pPr>
              <w:pStyle w:val="13"/>
            </w:pPr>
            <w:r>
              <w:t>城乡社区规划与管理</w:t>
            </w:r>
          </w:p>
        </w:tc>
        <w:tc>
          <w:tcPr>
            <w:tcW w:w="1361" w:type="dxa"/>
            <w:vAlign w:val="center"/>
          </w:tcPr>
          <w:p>
            <w:pPr>
              <w:pStyle w:val="12"/>
            </w:pPr>
            <w:r>
              <w:t>767.80</w:t>
            </w:r>
          </w:p>
        </w:tc>
        <w:tc>
          <w:tcPr>
            <w:tcW w:w="1361" w:type="dxa"/>
            <w:vAlign w:val="center"/>
          </w:tcPr>
          <w:p>
            <w:pPr>
              <w:pStyle w:val="12"/>
            </w:pPr>
          </w:p>
        </w:tc>
        <w:tc>
          <w:tcPr>
            <w:tcW w:w="1361" w:type="dxa"/>
            <w:vAlign w:val="center"/>
          </w:tcPr>
          <w:p>
            <w:pPr>
              <w:pStyle w:val="12"/>
            </w:pPr>
            <w:r>
              <w:t>767.80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2120201</w:t>
            </w:r>
          </w:p>
        </w:tc>
        <w:tc>
          <w:tcPr>
            <w:tcW w:w="4535" w:type="dxa"/>
            <w:vAlign w:val="center"/>
          </w:tcPr>
          <w:p>
            <w:pPr>
              <w:pStyle w:val="13"/>
            </w:pPr>
            <w:r>
              <w:t>城乡社区规划与管理</w:t>
            </w:r>
          </w:p>
        </w:tc>
        <w:tc>
          <w:tcPr>
            <w:tcW w:w="1361" w:type="dxa"/>
            <w:vAlign w:val="center"/>
          </w:tcPr>
          <w:p>
            <w:pPr>
              <w:pStyle w:val="12"/>
            </w:pPr>
            <w:r>
              <w:t>767.80</w:t>
            </w:r>
          </w:p>
        </w:tc>
        <w:tc>
          <w:tcPr>
            <w:tcW w:w="1361" w:type="dxa"/>
            <w:vAlign w:val="center"/>
          </w:tcPr>
          <w:p>
            <w:pPr>
              <w:pStyle w:val="12"/>
            </w:pPr>
          </w:p>
        </w:tc>
        <w:tc>
          <w:tcPr>
            <w:tcW w:w="1361" w:type="dxa"/>
            <w:vAlign w:val="center"/>
          </w:tcPr>
          <w:p>
            <w:pPr>
              <w:pStyle w:val="12"/>
            </w:pPr>
            <w:r>
              <w:t>767.80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2120802</w:t>
            </w:r>
          </w:p>
        </w:tc>
        <w:tc>
          <w:tcPr>
            <w:tcW w:w="4535" w:type="dxa"/>
            <w:vAlign w:val="center"/>
          </w:tcPr>
          <w:p>
            <w:pPr>
              <w:pStyle w:val="13"/>
            </w:pPr>
            <w:r>
              <w:t>土地开发支出</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2120805</w:t>
            </w:r>
          </w:p>
        </w:tc>
        <w:tc>
          <w:tcPr>
            <w:tcW w:w="4535" w:type="dxa"/>
            <w:vAlign w:val="center"/>
          </w:tcPr>
          <w:p>
            <w:pPr>
              <w:pStyle w:val="13"/>
            </w:pPr>
            <w:r>
              <w:t>补助被征地农民支出</w:t>
            </w: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61.60</w:t>
            </w:r>
          </w:p>
        </w:tc>
        <w:tc>
          <w:tcPr>
            <w:tcW w:w="1361" w:type="dxa"/>
            <w:vAlign w:val="center"/>
          </w:tcPr>
          <w:p>
            <w:pPr>
              <w:pStyle w:val="12"/>
            </w:pPr>
          </w:p>
        </w:tc>
        <w:tc>
          <w:tcPr>
            <w:tcW w:w="1361" w:type="dxa"/>
            <w:vAlign w:val="center"/>
          </w:tcPr>
          <w:p>
            <w:pPr>
              <w:pStyle w:val="12"/>
            </w:pPr>
            <w:r>
              <w:t>61.60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61.60</w:t>
            </w:r>
          </w:p>
        </w:tc>
        <w:tc>
          <w:tcPr>
            <w:tcW w:w="1361" w:type="dxa"/>
            <w:vAlign w:val="center"/>
          </w:tcPr>
          <w:p>
            <w:pPr>
              <w:pStyle w:val="12"/>
            </w:pPr>
          </w:p>
        </w:tc>
        <w:tc>
          <w:tcPr>
            <w:tcW w:w="1361" w:type="dxa"/>
            <w:vAlign w:val="center"/>
          </w:tcPr>
          <w:p>
            <w:pPr>
              <w:pStyle w:val="12"/>
            </w:pPr>
            <w:r>
              <w:t>61.60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2130205</w:t>
            </w:r>
          </w:p>
        </w:tc>
        <w:tc>
          <w:tcPr>
            <w:tcW w:w="4535" w:type="dxa"/>
            <w:vAlign w:val="center"/>
          </w:tcPr>
          <w:p>
            <w:pPr>
              <w:pStyle w:val="13"/>
            </w:pPr>
            <w:r>
              <w:t>森林资源培育</w:t>
            </w:r>
          </w:p>
        </w:tc>
        <w:tc>
          <w:tcPr>
            <w:tcW w:w="1361" w:type="dxa"/>
            <w:vAlign w:val="center"/>
          </w:tcPr>
          <w:p>
            <w:pPr>
              <w:pStyle w:val="12"/>
            </w:pPr>
            <w:r>
              <w:t>44.00</w:t>
            </w:r>
          </w:p>
        </w:tc>
        <w:tc>
          <w:tcPr>
            <w:tcW w:w="1361" w:type="dxa"/>
            <w:vAlign w:val="center"/>
          </w:tcPr>
          <w:p>
            <w:pPr>
              <w:pStyle w:val="12"/>
            </w:pPr>
          </w:p>
        </w:tc>
        <w:tc>
          <w:tcPr>
            <w:tcW w:w="1361" w:type="dxa"/>
            <w:vAlign w:val="center"/>
          </w:tcPr>
          <w:p>
            <w:pPr>
              <w:pStyle w:val="12"/>
            </w:pPr>
            <w:r>
              <w:t>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2130234</w:t>
            </w:r>
          </w:p>
        </w:tc>
        <w:tc>
          <w:tcPr>
            <w:tcW w:w="4535" w:type="dxa"/>
            <w:vAlign w:val="center"/>
          </w:tcPr>
          <w:p>
            <w:pPr>
              <w:pStyle w:val="13"/>
            </w:pPr>
            <w:r>
              <w:t>林业草原防灾减灾</w:t>
            </w:r>
          </w:p>
        </w:tc>
        <w:tc>
          <w:tcPr>
            <w:tcW w:w="1361" w:type="dxa"/>
            <w:vAlign w:val="center"/>
          </w:tcPr>
          <w:p>
            <w:pPr>
              <w:pStyle w:val="12"/>
            </w:pPr>
            <w:r>
              <w:t>17.60</w:t>
            </w:r>
          </w:p>
        </w:tc>
        <w:tc>
          <w:tcPr>
            <w:tcW w:w="1361" w:type="dxa"/>
            <w:vAlign w:val="center"/>
          </w:tcPr>
          <w:p>
            <w:pPr>
              <w:pStyle w:val="12"/>
            </w:pPr>
          </w:p>
        </w:tc>
        <w:tc>
          <w:tcPr>
            <w:tcW w:w="1361" w:type="dxa"/>
            <w:vAlign w:val="center"/>
          </w:tcPr>
          <w:p>
            <w:pPr>
              <w:pStyle w:val="12"/>
            </w:pPr>
            <w:r>
              <w:t>17.60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1653.72</w:t>
            </w:r>
          </w:p>
        </w:tc>
        <w:tc>
          <w:tcPr>
            <w:tcW w:w="1361" w:type="dxa"/>
            <w:vAlign w:val="center"/>
          </w:tcPr>
          <w:p>
            <w:pPr>
              <w:pStyle w:val="12"/>
            </w:pPr>
            <w:r>
              <w:t>1653.72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1653.72</w:t>
            </w:r>
          </w:p>
        </w:tc>
        <w:tc>
          <w:tcPr>
            <w:tcW w:w="1361" w:type="dxa"/>
            <w:vAlign w:val="center"/>
          </w:tcPr>
          <w:p>
            <w:pPr>
              <w:pStyle w:val="12"/>
            </w:pPr>
            <w:r>
              <w:t>1653.72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2200101</w:t>
            </w:r>
          </w:p>
        </w:tc>
        <w:tc>
          <w:tcPr>
            <w:tcW w:w="4535" w:type="dxa"/>
            <w:vAlign w:val="center"/>
          </w:tcPr>
          <w:p>
            <w:pPr>
              <w:pStyle w:val="13"/>
            </w:pPr>
            <w:r>
              <w:t>行政运行</w:t>
            </w:r>
          </w:p>
        </w:tc>
        <w:tc>
          <w:tcPr>
            <w:tcW w:w="1361" w:type="dxa"/>
            <w:vAlign w:val="center"/>
          </w:tcPr>
          <w:p>
            <w:pPr>
              <w:pStyle w:val="12"/>
            </w:pPr>
            <w:r>
              <w:t>152.36</w:t>
            </w:r>
          </w:p>
        </w:tc>
        <w:tc>
          <w:tcPr>
            <w:tcW w:w="1361" w:type="dxa"/>
            <w:vAlign w:val="center"/>
          </w:tcPr>
          <w:p>
            <w:pPr>
              <w:pStyle w:val="12"/>
            </w:pPr>
            <w:r>
              <w:t>152.36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2200150</w:t>
            </w:r>
          </w:p>
        </w:tc>
        <w:tc>
          <w:tcPr>
            <w:tcW w:w="4535" w:type="dxa"/>
            <w:vAlign w:val="center"/>
          </w:tcPr>
          <w:p>
            <w:pPr>
              <w:pStyle w:val="13"/>
            </w:pPr>
            <w:r>
              <w:t>事业运行</w:t>
            </w:r>
          </w:p>
        </w:tc>
        <w:tc>
          <w:tcPr>
            <w:tcW w:w="1361" w:type="dxa"/>
            <w:vAlign w:val="center"/>
          </w:tcPr>
          <w:p>
            <w:pPr>
              <w:pStyle w:val="12"/>
            </w:pPr>
            <w:r>
              <w:t>1501.36</w:t>
            </w:r>
          </w:p>
        </w:tc>
        <w:tc>
          <w:tcPr>
            <w:tcW w:w="1361" w:type="dxa"/>
            <w:vAlign w:val="center"/>
          </w:tcPr>
          <w:p>
            <w:pPr>
              <w:pStyle w:val="12"/>
            </w:pPr>
            <w:r>
              <w:t>1501.36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12.78</w:t>
            </w:r>
          </w:p>
        </w:tc>
        <w:tc>
          <w:tcPr>
            <w:tcW w:w="1361" w:type="dxa"/>
            <w:vAlign w:val="center"/>
          </w:tcPr>
          <w:p>
            <w:pPr>
              <w:pStyle w:val="12"/>
            </w:pPr>
            <w:r>
              <w:t>12.78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12.78</w:t>
            </w:r>
          </w:p>
        </w:tc>
        <w:tc>
          <w:tcPr>
            <w:tcW w:w="1361" w:type="dxa"/>
            <w:vAlign w:val="center"/>
          </w:tcPr>
          <w:p>
            <w:pPr>
              <w:pStyle w:val="12"/>
            </w:pPr>
            <w:r>
              <w:t>12.78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12.78</w:t>
            </w:r>
          </w:p>
        </w:tc>
        <w:tc>
          <w:tcPr>
            <w:tcW w:w="1361" w:type="dxa"/>
            <w:vAlign w:val="center"/>
          </w:tcPr>
          <w:p>
            <w:pPr>
              <w:pStyle w:val="12"/>
            </w:pPr>
            <w:r>
              <w:t>12.78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2620.40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500.00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116.30</w:t>
            </w:r>
          </w:p>
        </w:tc>
        <w:tc>
          <w:tcPr>
            <w:tcW w:w="1474" w:type="dxa"/>
            <w:vAlign w:val="center"/>
          </w:tcPr>
          <w:p>
            <w:pPr>
              <w:pStyle w:val="12"/>
            </w:pPr>
            <w:r>
              <w:t>116.30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8.20</w:t>
            </w:r>
          </w:p>
        </w:tc>
        <w:tc>
          <w:tcPr>
            <w:tcW w:w="1474" w:type="dxa"/>
            <w:vAlign w:val="center"/>
          </w:tcPr>
          <w:p>
            <w:pPr>
              <w:pStyle w:val="12"/>
            </w:pPr>
            <w:r>
              <w:t>8.20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1267.80</w:t>
            </w:r>
          </w:p>
        </w:tc>
        <w:tc>
          <w:tcPr>
            <w:tcW w:w="1474" w:type="dxa"/>
            <w:vAlign w:val="center"/>
          </w:tcPr>
          <w:p>
            <w:pPr>
              <w:pStyle w:val="12"/>
            </w:pPr>
            <w:r>
              <w:t>767.80</w:t>
            </w:r>
          </w:p>
        </w:tc>
        <w:tc>
          <w:tcPr>
            <w:tcW w:w="1474" w:type="dxa"/>
            <w:vAlign w:val="center"/>
          </w:tcPr>
          <w:p>
            <w:pPr>
              <w:pStyle w:val="12"/>
            </w:pPr>
            <w:r>
              <w:t>500.00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61.60</w:t>
            </w:r>
          </w:p>
        </w:tc>
        <w:tc>
          <w:tcPr>
            <w:tcW w:w="1474" w:type="dxa"/>
            <w:vAlign w:val="center"/>
          </w:tcPr>
          <w:p>
            <w:pPr>
              <w:pStyle w:val="12"/>
            </w:pPr>
            <w:r>
              <w:t>61.60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1653.72</w:t>
            </w:r>
          </w:p>
        </w:tc>
        <w:tc>
          <w:tcPr>
            <w:tcW w:w="1474" w:type="dxa"/>
            <w:vAlign w:val="center"/>
          </w:tcPr>
          <w:p>
            <w:pPr>
              <w:pStyle w:val="12"/>
            </w:pPr>
            <w:r>
              <w:t>1653.72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12.78</w:t>
            </w:r>
          </w:p>
        </w:tc>
        <w:tc>
          <w:tcPr>
            <w:tcW w:w="1474" w:type="dxa"/>
            <w:vAlign w:val="center"/>
          </w:tcPr>
          <w:p>
            <w:pPr>
              <w:pStyle w:val="12"/>
            </w:pPr>
            <w:r>
              <w:t>12.78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3120.40</w:t>
            </w:r>
          </w:p>
        </w:tc>
        <w:tc>
          <w:tcPr>
            <w:tcW w:w="3402" w:type="dxa"/>
            <w:vAlign w:val="center"/>
          </w:tcPr>
          <w:p>
            <w:pPr>
              <w:pStyle w:val="15"/>
            </w:pPr>
            <w:r>
              <w:t>本年支出合计</w:t>
            </w:r>
          </w:p>
        </w:tc>
        <w:tc>
          <w:tcPr>
            <w:tcW w:w="1474" w:type="dxa"/>
            <w:vAlign w:val="center"/>
          </w:tcPr>
          <w:p>
            <w:pPr>
              <w:pStyle w:val="16"/>
            </w:pPr>
            <w:r>
              <w:t>3120.40</w:t>
            </w:r>
          </w:p>
        </w:tc>
        <w:tc>
          <w:tcPr>
            <w:tcW w:w="1474" w:type="dxa"/>
            <w:vAlign w:val="center"/>
          </w:tcPr>
          <w:p>
            <w:pPr>
              <w:pStyle w:val="16"/>
            </w:pPr>
            <w:r>
              <w:t>2620.40</w:t>
            </w:r>
          </w:p>
        </w:tc>
        <w:tc>
          <w:tcPr>
            <w:tcW w:w="1474" w:type="dxa"/>
            <w:vAlign w:val="center"/>
          </w:tcPr>
          <w:p>
            <w:pPr>
              <w:pStyle w:val="16"/>
            </w:pPr>
            <w:r>
              <w:t>500.00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3120.40</w:t>
            </w:r>
          </w:p>
        </w:tc>
        <w:tc>
          <w:tcPr>
            <w:tcW w:w="3402" w:type="dxa"/>
            <w:vAlign w:val="center"/>
          </w:tcPr>
          <w:p>
            <w:pPr>
              <w:pStyle w:val="15"/>
            </w:pPr>
            <w:r>
              <w:t>支出总计</w:t>
            </w:r>
          </w:p>
        </w:tc>
        <w:tc>
          <w:tcPr>
            <w:tcW w:w="1474" w:type="dxa"/>
            <w:vAlign w:val="center"/>
          </w:tcPr>
          <w:p>
            <w:pPr>
              <w:pStyle w:val="16"/>
            </w:pPr>
            <w:r>
              <w:t>3120.40</w:t>
            </w:r>
          </w:p>
        </w:tc>
        <w:tc>
          <w:tcPr>
            <w:tcW w:w="1474" w:type="dxa"/>
            <w:vAlign w:val="center"/>
          </w:tcPr>
          <w:p>
            <w:pPr>
              <w:pStyle w:val="16"/>
            </w:pPr>
            <w:r>
              <w:t>2620.40</w:t>
            </w:r>
          </w:p>
        </w:tc>
        <w:tc>
          <w:tcPr>
            <w:tcW w:w="1474" w:type="dxa"/>
            <w:vAlign w:val="center"/>
          </w:tcPr>
          <w:p>
            <w:pPr>
              <w:pStyle w:val="16"/>
            </w:pPr>
            <w:r>
              <w:t>500.00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2620.40</w:t>
            </w:r>
          </w:p>
        </w:tc>
        <w:tc>
          <w:tcPr>
            <w:tcW w:w="2551" w:type="dxa"/>
            <w:vAlign w:val="center"/>
          </w:tcPr>
          <w:p>
            <w:pPr>
              <w:pStyle w:val="16"/>
            </w:pPr>
            <w:r>
              <w:t>1791.00</w:t>
            </w:r>
          </w:p>
        </w:tc>
        <w:tc>
          <w:tcPr>
            <w:tcW w:w="2551" w:type="dxa"/>
            <w:vAlign w:val="center"/>
          </w:tcPr>
          <w:p>
            <w:pPr>
              <w:pStyle w:val="16"/>
            </w:pPr>
            <w:r>
              <w:t>829.40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116.30</w:t>
            </w:r>
          </w:p>
        </w:tc>
        <w:tc>
          <w:tcPr>
            <w:tcW w:w="2551" w:type="dxa"/>
            <w:vAlign w:val="center"/>
          </w:tcPr>
          <w:p>
            <w:pPr>
              <w:pStyle w:val="12"/>
            </w:pPr>
            <w:r>
              <w:t>116.30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113.90</w:t>
            </w:r>
          </w:p>
        </w:tc>
        <w:tc>
          <w:tcPr>
            <w:tcW w:w="2551" w:type="dxa"/>
            <w:vAlign w:val="center"/>
          </w:tcPr>
          <w:p>
            <w:pPr>
              <w:pStyle w:val="12"/>
            </w:pPr>
            <w:r>
              <w:t>113.90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84.39</w:t>
            </w:r>
          </w:p>
        </w:tc>
        <w:tc>
          <w:tcPr>
            <w:tcW w:w="2551" w:type="dxa"/>
            <w:vAlign w:val="center"/>
          </w:tcPr>
          <w:p>
            <w:pPr>
              <w:pStyle w:val="12"/>
            </w:pPr>
            <w:r>
              <w:t>84.39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19.67</w:t>
            </w:r>
          </w:p>
        </w:tc>
        <w:tc>
          <w:tcPr>
            <w:tcW w:w="2551" w:type="dxa"/>
            <w:vAlign w:val="center"/>
          </w:tcPr>
          <w:p>
            <w:pPr>
              <w:pStyle w:val="12"/>
            </w:pPr>
            <w:r>
              <w:t>19.67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9.84</w:t>
            </w:r>
          </w:p>
        </w:tc>
        <w:tc>
          <w:tcPr>
            <w:tcW w:w="2551" w:type="dxa"/>
            <w:vAlign w:val="center"/>
          </w:tcPr>
          <w:p>
            <w:pPr>
              <w:pStyle w:val="12"/>
            </w:pPr>
            <w:r>
              <w:t>9.84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2.40</w:t>
            </w:r>
          </w:p>
        </w:tc>
        <w:tc>
          <w:tcPr>
            <w:tcW w:w="2551" w:type="dxa"/>
            <w:vAlign w:val="center"/>
          </w:tcPr>
          <w:p>
            <w:pPr>
              <w:pStyle w:val="12"/>
            </w:pPr>
            <w:r>
              <w:t>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2.40</w:t>
            </w:r>
          </w:p>
        </w:tc>
        <w:tc>
          <w:tcPr>
            <w:tcW w:w="2551" w:type="dxa"/>
            <w:vAlign w:val="center"/>
          </w:tcPr>
          <w:p>
            <w:pPr>
              <w:pStyle w:val="12"/>
            </w:pPr>
            <w:r>
              <w:t>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8.20</w:t>
            </w:r>
          </w:p>
        </w:tc>
        <w:tc>
          <w:tcPr>
            <w:tcW w:w="2551" w:type="dxa"/>
            <w:vAlign w:val="center"/>
          </w:tcPr>
          <w:p>
            <w:pPr>
              <w:pStyle w:val="12"/>
            </w:pPr>
            <w:r>
              <w:t>8.20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8.20</w:t>
            </w:r>
          </w:p>
        </w:tc>
        <w:tc>
          <w:tcPr>
            <w:tcW w:w="2551" w:type="dxa"/>
            <w:vAlign w:val="center"/>
          </w:tcPr>
          <w:p>
            <w:pPr>
              <w:pStyle w:val="12"/>
            </w:pPr>
            <w:r>
              <w:t>8.20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5.98</w:t>
            </w:r>
          </w:p>
        </w:tc>
        <w:tc>
          <w:tcPr>
            <w:tcW w:w="2551" w:type="dxa"/>
            <w:vAlign w:val="center"/>
          </w:tcPr>
          <w:p>
            <w:pPr>
              <w:pStyle w:val="12"/>
            </w:pPr>
            <w:r>
              <w:t>5.98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2.22</w:t>
            </w:r>
          </w:p>
        </w:tc>
        <w:tc>
          <w:tcPr>
            <w:tcW w:w="2551" w:type="dxa"/>
            <w:vAlign w:val="center"/>
          </w:tcPr>
          <w:p>
            <w:pPr>
              <w:pStyle w:val="12"/>
            </w:pPr>
            <w:r>
              <w:t>2.22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767.80</w:t>
            </w:r>
          </w:p>
        </w:tc>
        <w:tc>
          <w:tcPr>
            <w:tcW w:w="2551" w:type="dxa"/>
            <w:vAlign w:val="center"/>
          </w:tcPr>
          <w:p>
            <w:pPr>
              <w:pStyle w:val="12"/>
            </w:pPr>
          </w:p>
        </w:tc>
        <w:tc>
          <w:tcPr>
            <w:tcW w:w="2551" w:type="dxa"/>
            <w:vAlign w:val="center"/>
          </w:tcPr>
          <w:p>
            <w:pPr>
              <w:pStyle w:val="12"/>
            </w:pPr>
            <w:r>
              <w:t>767.80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21202</w:t>
            </w:r>
          </w:p>
        </w:tc>
        <w:tc>
          <w:tcPr>
            <w:tcW w:w="4535" w:type="dxa"/>
            <w:vAlign w:val="center"/>
          </w:tcPr>
          <w:p>
            <w:pPr>
              <w:pStyle w:val="13"/>
            </w:pPr>
            <w:r>
              <w:t>城乡社区规划与管理</w:t>
            </w:r>
          </w:p>
        </w:tc>
        <w:tc>
          <w:tcPr>
            <w:tcW w:w="2551" w:type="dxa"/>
            <w:vAlign w:val="center"/>
          </w:tcPr>
          <w:p>
            <w:pPr>
              <w:pStyle w:val="12"/>
            </w:pPr>
            <w:r>
              <w:t>767.80</w:t>
            </w:r>
          </w:p>
        </w:tc>
        <w:tc>
          <w:tcPr>
            <w:tcW w:w="2551" w:type="dxa"/>
            <w:vAlign w:val="center"/>
          </w:tcPr>
          <w:p>
            <w:pPr>
              <w:pStyle w:val="12"/>
            </w:pPr>
          </w:p>
        </w:tc>
        <w:tc>
          <w:tcPr>
            <w:tcW w:w="2551" w:type="dxa"/>
            <w:vAlign w:val="center"/>
          </w:tcPr>
          <w:p>
            <w:pPr>
              <w:pStyle w:val="12"/>
            </w:pPr>
            <w:r>
              <w:t>767.80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2120201</w:t>
            </w:r>
          </w:p>
        </w:tc>
        <w:tc>
          <w:tcPr>
            <w:tcW w:w="4535" w:type="dxa"/>
            <w:vAlign w:val="center"/>
          </w:tcPr>
          <w:p>
            <w:pPr>
              <w:pStyle w:val="13"/>
            </w:pPr>
            <w:r>
              <w:t>城乡社区规划与管理</w:t>
            </w:r>
          </w:p>
        </w:tc>
        <w:tc>
          <w:tcPr>
            <w:tcW w:w="2551" w:type="dxa"/>
            <w:vAlign w:val="center"/>
          </w:tcPr>
          <w:p>
            <w:pPr>
              <w:pStyle w:val="12"/>
            </w:pPr>
            <w:r>
              <w:t>767.80</w:t>
            </w:r>
          </w:p>
        </w:tc>
        <w:tc>
          <w:tcPr>
            <w:tcW w:w="2551" w:type="dxa"/>
            <w:vAlign w:val="center"/>
          </w:tcPr>
          <w:p>
            <w:pPr>
              <w:pStyle w:val="12"/>
            </w:pPr>
          </w:p>
        </w:tc>
        <w:tc>
          <w:tcPr>
            <w:tcW w:w="2551" w:type="dxa"/>
            <w:vAlign w:val="center"/>
          </w:tcPr>
          <w:p>
            <w:pPr>
              <w:pStyle w:val="12"/>
            </w:pPr>
            <w:r>
              <w:t>767.80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61.60</w:t>
            </w:r>
          </w:p>
        </w:tc>
        <w:tc>
          <w:tcPr>
            <w:tcW w:w="2551" w:type="dxa"/>
            <w:vAlign w:val="center"/>
          </w:tcPr>
          <w:p>
            <w:pPr>
              <w:pStyle w:val="12"/>
            </w:pPr>
          </w:p>
        </w:tc>
        <w:tc>
          <w:tcPr>
            <w:tcW w:w="2551" w:type="dxa"/>
            <w:vAlign w:val="center"/>
          </w:tcPr>
          <w:p>
            <w:pPr>
              <w:pStyle w:val="12"/>
            </w:pPr>
            <w:r>
              <w:t>61.60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61.60</w:t>
            </w:r>
          </w:p>
        </w:tc>
        <w:tc>
          <w:tcPr>
            <w:tcW w:w="2551" w:type="dxa"/>
            <w:vAlign w:val="center"/>
          </w:tcPr>
          <w:p>
            <w:pPr>
              <w:pStyle w:val="12"/>
            </w:pPr>
          </w:p>
        </w:tc>
        <w:tc>
          <w:tcPr>
            <w:tcW w:w="2551" w:type="dxa"/>
            <w:vAlign w:val="center"/>
          </w:tcPr>
          <w:p>
            <w:pPr>
              <w:pStyle w:val="12"/>
            </w:pPr>
            <w:r>
              <w:t>61.60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2130205</w:t>
            </w:r>
          </w:p>
        </w:tc>
        <w:tc>
          <w:tcPr>
            <w:tcW w:w="4535" w:type="dxa"/>
            <w:vAlign w:val="center"/>
          </w:tcPr>
          <w:p>
            <w:pPr>
              <w:pStyle w:val="13"/>
            </w:pPr>
            <w:r>
              <w:t>森林资源培育</w:t>
            </w:r>
          </w:p>
        </w:tc>
        <w:tc>
          <w:tcPr>
            <w:tcW w:w="2551" w:type="dxa"/>
            <w:vAlign w:val="center"/>
          </w:tcPr>
          <w:p>
            <w:pPr>
              <w:pStyle w:val="12"/>
            </w:pPr>
            <w:r>
              <w:t>44.00</w:t>
            </w:r>
          </w:p>
        </w:tc>
        <w:tc>
          <w:tcPr>
            <w:tcW w:w="2551" w:type="dxa"/>
            <w:vAlign w:val="center"/>
          </w:tcPr>
          <w:p>
            <w:pPr>
              <w:pStyle w:val="12"/>
            </w:pPr>
          </w:p>
        </w:tc>
        <w:tc>
          <w:tcPr>
            <w:tcW w:w="2551" w:type="dxa"/>
            <w:vAlign w:val="center"/>
          </w:tcPr>
          <w:p>
            <w:pPr>
              <w:pStyle w:val="12"/>
            </w:pPr>
            <w:r>
              <w:t>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2130234</w:t>
            </w:r>
          </w:p>
        </w:tc>
        <w:tc>
          <w:tcPr>
            <w:tcW w:w="4535" w:type="dxa"/>
            <w:vAlign w:val="center"/>
          </w:tcPr>
          <w:p>
            <w:pPr>
              <w:pStyle w:val="13"/>
            </w:pPr>
            <w:r>
              <w:t>林业草原防灾减灾</w:t>
            </w:r>
          </w:p>
        </w:tc>
        <w:tc>
          <w:tcPr>
            <w:tcW w:w="2551" w:type="dxa"/>
            <w:vAlign w:val="center"/>
          </w:tcPr>
          <w:p>
            <w:pPr>
              <w:pStyle w:val="12"/>
            </w:pPr>
            <w:r>
              <w:t>17.60</w:t>
            </w:r>
          </w:p>
        </w:tc>
        <w:tc>
          <w:tcPr>
            <w:tcW w:w="2551" w:type="dxa"/>
            <w:vAlign w:val="center"/>
          </w:tcPr>
          <w:p>
            <w:pPr>
              <w:pStyle w:val="12"/>
            </w:pPr>
          </w:p>
        </w:tc>
        <w:tc>
          <w:tcPr>
            <w:tcW w:w="2551" w:type="dxa"/>
            <w:vAlign w:val="center"/>
          </w:tcPr>
          <w:p>
            <w:pPr>
              <w:pStyle w:val="12"/>
            </w:pPr>
            <w:r>
              <w:t>17.60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1653.72</w:t>
            </w:r>
          </w:p>
        </w:tc>
        <w:tc>
          <w:tcPr>
            <w:tcW w:w="2551" w:type="dxa"/>
            <w:vAlign w:val="center"/>
          </w:tcPr>
          <w:p>
            <w:pPr>
              <w:pStyle w:val="12"/>
            </w:pPr>
            <w:r>
              <w:t>1653.72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1653.72</w:t>
            </w:r>
          </w:p>
        </w:tc>
        <w:tc>
          <w:tcPr>
            <w:tcW w:w="2551" w:type="dxa"/>
            <w:vAlign w:val="center"/>
          </w:tcPr>
          <w:p>
            <w:pPr>
              <w:pStyle w:val="12"/>
            </w:pPr>
            <w:r>
              <w:t>1653.72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2200101</w:t>
            </w:r>
          </w:p>
        </w:tc>
        <w:tc>
          <w:tcPr>
            <w:tcW w:w="4535" w:type="dxa"/>
            <w:vAlign w:val="center"/>
          </w:tcPr>
          <w:p>
            <w:pPr>
              <w:pStyle w:val="13"/>
            </w:pPr>
            <w:r>
              <w:t>行政运行</w:t>
            </w:r>
          </w:p>
        </w:tc>
        <w:tc>
          <w:tcPr>
            <w:tcW w:w="2551" w:type="dxa"/>
            <w:vAlign w:val="center"/>
          </w:tcPr>
          <w:p>
            <w:pPr>
              <w:pStyle w:val="12"/>
            </w:pPr>
            <w:r>
              <w:t>152.36</w:t>
            </w:r>
          </w:p>
        </w:tc>
        <w:tc>
          <w:tcPr>
            <w:tcW w:w="2551" w:type="dxa"/>
            <w:vAlign w:val="center"/>
          </w:tcPr>
          <w:p>
            <w:pPr>
              <w:pStyle w:val="12"/>
            </w:pPr>
            <w:r>
              <w:t>152.36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2200150</w:t>
            </w:r>
          </w:p>
        </w:tc>
        <w:tc>
          <w:tcPr>
            <w:tcW w:w="4535" w:type="dxa"/>
            <w:vAlign w:val="center"/>
          </w:tcPr>
          <w:p>
            <w:pPr>
              <w:pStyle w:val="13"/>
            </w:pPr>
            <w:r>
              <w:t>事业运行</w:t>
            </w:r>
          </w:p>
        </w:tc>
        <w:tc>
          <w:tcPr>
            <w:tcW w:w="2551" w:type="dxa"/>
            <w:vAlign w:val="center"/>
          </w:tcPr>
          <w:p>
            <w:pPr>
              <w:pStyle w:val="12"/>
            </w:pPr>
            <w:r>
              <w:t>1501.36</w:t>
            </w:r>
          </w:p>
        </w:tc>
        <w:tc>
          <w:tcPr>
            <w:tcW w:w="2551" w:type="dxa"/>
            <w:vAlign w:val="center"/>
          </w:tcPr>
          <w:p>
            <w:pPr>
              <w:pStyle w:val="12"/>
            </w:pPr>
            <w:r>
              <w:t>1501.36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12.78</w:t>
            </w:r>
          </w:p>
        </w:tc>
        <w:tc>
          <w:tcPr>
            <w:tcW w:w="2551" w:type="dxa"/>
            <w:vAlign w:val="center"/>
          </w:tcPr>
          <w:p>
            <w:pPr>
              <w:pStyle w:val="12"/>
            </w:pPr>
            <w:r>
              <w:t>12.78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12.78</w:t>
            </w:r>
          </w:p>
        </w:tc>
        <w:tc>
          <w:tcPr>
            <w:tcW w:w="2551" w:type="dxa"/>
            <w:vAlign w:val="center"/>
          </w:tcPr>
          <w:p>
            <w:pPr>
              <w:pStyle w:val="12"/>
            </w:pPr>
            <w:r>
              <w:t>12.78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12.78</w:t>
            </w:r>
          </w:p>
        </w:tc>
        <w:tc>
          <w:tcPr>
            <w:tcW w:w="2551" w:type="dxa"/>
            <w:vAlign w:val="center"/>
          </w:tcPr>
          <w:p>
            <w:pPr>
              <w:pStyle w:val="12"/>
            </w:pPr>
            <w:r>
              <w:t>12.78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1791.00</w:t>
            </w:r>
          </w:p>
        </w:tc>
        <w:tc>
          <w:tcPr>
            <w:tcW w:w="2551" w:type="dxa"/>
            <w:vAlign w:val="center"/>
          </w:tcPr>
          <w:p>
            <w:pPr>
              <w:pStyle w:val="16"/>
            </w:pPr>
            <w:r>
              <w:t>1638.46</w:t>
            </w:r>
          </w:p>
        </w:tc>
        <w:tc>
          <w:tcPr>
            <w:tcW w:w="2551" w:type="dxa"/>
            <w:vAlign w:val="center"/>
          </w:tcPr>
          <w:p>
            <w:pPr>
              <w:pStyle w:val="16"/>
            </w:pPr>
            <w:r>
              <w:t>152.54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1551.67</w:t>
            </w:r>
          </w:p>
        </w:tc>
        <w:tc>
          <w:tcPr>
            <w:tcW w:w="2551" w:type="dxa"/>
            <w:vAlign w:val="center"/>
          </w:tcPr>
          <w:p>
            <w:pPr>
              <w:pStyle w:val="12"/>
            </w:pPr>
            <w:r>
              <w:t>1551.67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81.83</w:t>
            </w:r>
          </w:p>
        </w:tc>
        <w:tc>
          <w:tcPr>
            <w:tcW w:w="2551" w:type="dxa"/>
            <w:vAlign w:val="center"/>
          </w:tcPr>
          <w:p>
            <w:pPr>
              <w:pStyle w:val="12"/>
            </w:pPr>
            <w:r>
              <w:t>81.83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26.74</w:t>
            </w:r>
          </w:p>
        </w:tc>
        <w:tc>
          <w:tcPr>
            <w:tcW w:w="2551" w:type="dxa"/>
            <w:vAlign w:val="center"/>
          </w:tcPr>
          <w:p>
            <w:pPr>
              <w:pStyle w:val="12"/>
            </w:pPr>
            <w:r>
              <w:t>26.74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15.99</w:t>
            </w:r>
          </w:p>
        </w:tc>
        <w:tc>
          <w:tcPr>
            <w:tcW w:w="2551" w:type="dxa"/>
            <w:vAlign w:val="center"/>
          </w:tcPr>
          <w:p>
            <w:pPr>
              <w:pStyle w:val="12"/>
            </w:pPr>
            <w:r>
              <w:t>15.99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10.82</w:t>
            </w:r>
          </w:p>
        </w:tc>
        <w:tc>
          <w:tcPr>
            <w:tcW w:w="2551" w:type="dxa"/>
            <w:vAlign w:val="center"/>
          </w:tcPr>
          <w:p>
            <w:pPr>
              <w:pStyle w:val="12"/>
            </w:pPr>
            <w:r>
              <w:t>10.82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19.67</w:t>
            </w:r>
          </w:p>
        </w:tc>
        <w:tc>
          <w:tcPr>
            <w:tcW w:w="2551" w:type="dxa"/>
            <w:vAlign w:val="center"/>
          </w:tcPr>
          <w:p>
            <w:pPr>
              <w:pStyle w:val="12"/>
            </w:pPr>
            <w:r>
              <w:t>19.67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9.84</w:t>
            </w:r>
          </w:p>
        </w:tc>
        <w:tc>
          <w:tcPr>
            <w:tcW w:w="2551" w:type="dxa"/>
            <w:vAlign w:val="center"/>
          </w:tcPr>
          <w:p>
            <w:pPr>
              <w:pStyle w:val="12"/>
            </w:pPr>
            <w:r>
              <w:t>9.84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8.20</w:t>
            </w:r>
          </w:p>
        </w:tc>
        <w:tc>
          <w:tcPr>
            <w:tcW w:w="2551" w:type="dxa"/>
            <w:vAlign w:val="center"/>
          </w:tcPr>
          <w:p>
            <w:pPr>
              <w:pStyle w:val="12"/>
            </w:pPr>
            <w:r>
              <w:t>8.20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0.78</w:t>
            </w:r>
          </w:p>
        </w:tc>
        <w:tc>
          <w:tcPr>
            <w:tcW w:w="2551" w:type="dxa"/>
            <w:vAlign w:val="center"/>
          </w:tcPr>
          <w:p>
            <w:pPr>
              <w:pStyle w:val="12"/>
            </w:pPr>
            <w:r>
              <w:t>0.78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12.78</w:t>
            </w:r>
          </w:p>
        </w:tc>
        <w:tc>
          <w:tcPr>
            <w:tcW w:w="2551" w:type="dxa"/>
            <w:vAlign w:val="center"/>
          </w:tcPr>
          <w:p>
            <w:pPr>
              <w:pStyle w:val="12"/>
            </w:pPr>
            <w:r>
              <w:t>12.78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1365.03</w:t>
            </w:r>
          </w:p>
        </w:tc>
        <w:tc>
          <w:tcPr>
            <w:tcW w:w="2551" w:type="dxa"/>
            <w:vAlign w:val="center"/>
          </w:tcPr>
          <w:p>
            <w:pPr>
              <w:pStyle w:val="12"/>
            </w:pPr>
            <w:r>
              <w:t>1365.03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149.54</w:t>
            </w:r>
          </w:p>
        </w:tc>
        <w:tc>
          <w:tcPr>
            <w:tcW w:w="2551" w:type="dxa"/>
            <w:vAlign w:val="center"/>
          </w:tcPr>
          <w:p>
            <w:pPr>
              <w:pStyle w:val="12"/>
            </w:pPr>
          </w:p>
        </w:tc>
        <w:tc>
          <w:tcPr>
            <w:tcW w:w="2551" w:type="dxa"/>
            <w:vAlign w:val="center"/>
          </w:tcPr>
          <w:p>
            <w:pPr>
              <w:pStyle w:val="12"/>
            </w:pPr>
            <w:r>
              <w:t>149.54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23.36</w:t>
            </w:r>
          </w:p>
        </w:tc>
        <w:tc>
          <w:tcPr>
            <w:tcW w:w="2551" w:type="dxa"/>
            <w:vAlign w:val="center"/>
          </w:tcPr>
          <w:p>
            <w:pPr>
              <w:pStyle w:val="12"/>
            </w:pPr>
          </w:p>
        </w:tc>
        <w:tc>
          <w:tcPr>
            <w:tcW w:w="2551" w:type="dxa"/>
            <w:vAlign w:val="center"/>
          </w:tcPr>
          <w:p>
            <w:pPr>
              <w:pStyle w:val="12"/>
            </w:pPr>
            <w:r>
              <w:t>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32.50</w:t>
            </w:r>
          </w:p>
        </w:tc>
        <w:tc>
          <w:tcPr>
            <w:tcW w:w="2551" w:type="dxa"/>
            <w:vAlign w:val="center"/>
          </w:tcPr>
          <w:p>
            <w:pPr>
              <w:pStyle w:val="12"/>
            </w:pPr>
          </w:p>
        </w:tc>
        <w:tc>
          <w:tcPr>
            <w:tcW w:w="2551" w:type="dxa"/>
            <w:vAlign w:val="center"/>
          </w:tcPr>
          <w:p>
            <w:pPr>
              <w:pStyle w:val="12"/>
            </w:pPr>
            <w:r>
              <w:t>32.50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29.01</w:t>
            </w:r>
          </w:p>
        </w:tc>
        <w:tc>
          <w:tcPr>
            <w:tcW w:w="2551" w:type="dxa"/>
            <w:vAlign w:val="center"/>
          </w:tcPr>
          <w:p>
            <w:pPr>
              <w:pStyle w:val="12"/>
            </w:pPr>
          </w:p>
        </w:tc>
        <w:tc>
          <w:tcPr>
            <w:tcW w:w="2551" w:type="dxa"/>
            <w:vAlign w:val="center"/>
          </w:tcPr>
          <w:p>
            <w:pPr>
              <w:pStyle w:val="12"/>
            </w:pPr>
            <w:r>
              <w:t>29.01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0.38</w:t>
            </w:r>
          </w:p>
        </w:tc>
        <w:tc>
          <w:tcPr>
            <w:tcW w:w="2551" w:type="dxa"/>
            <w:vAlign w:val="center"/>
          </w:tcPr>
          <w:p>
            <w:pPr>
              <w:pStyle w:val="12"/>
            </w:pPr>
          </w:p>
        </w:tc>
        <w:tc>
          <w:tcPr>
            <w:tcW w:w="2551" w:type="dxa"/>
            <w:vAlign w:val="center"/>
          </w:tcPr>
          <w:p>
            <w:pPr>
              <w:pStyle w:val="12"/>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2.53</w:t>
            </w:r>
          </w:p>
        </w:tc>
        <w:tc>
          <w:tcPr>
            <w:tcW w:w="2551" w:type="dxa"/>
            <w:vAlign w:val="center"/>
          </w:tcPr>
          <w:p>
            <w:pPr>
              <w:pStyle w:val="12"/>
            </w:pPr>
          </w:p>
        </w:tc>
        <w:tc>
          <w:tcPr>
            <w:tcW w:w="2551" w:type="dxa"/>
            <w:vAlign w:val="center"/>
          </w:tcPr>
          <w:p>
            <w:pPr>
              <w:pStyle w:val="12"/>
            </w:pPr>
            <w: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12.93</w:t>
            </w:r>
          </w:p>
        </w:tc>
        <w:tc>
          <w:tcPr>
            <w:tcW w:w="2551" w:type="dxa"/>
            <w:vAlign w:val="center"/>
          </w:tcPr>
          <w:p>
            <w:pPr>
              <w:pStyle w:val="12"/>
            </w:pPr>
          </w:p>
        </w:tc>
        <w:tc>
          <w:tcPr>
            <w:tcW w:w="2551" w:type="dxa"/>
            <w:vAlign w:val="center"/>
          </w:tcPr>
          <w:p>
            <w:pPr>
              <w:pStyle w:val="12"/>
            </w:pPr>
            <w:r>
              <w:t>12.93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16.61</w:t>
            </w:r>
          </w:p>
        </w:tc>
        <w:tc>
          <w:tcPr>
            <w:tcW w:w="2551" w:type="dxa"/>
            <w:vAlign w:val="center"/>
          </w:tcPr>
          <w:p>
            <w:pPr>
              <w:pStyle w:val="12"/>
            </w:pPr>
          </w:p>
        </w:tc>
        <w:tc>
          <w:tcPr>
            <w:tcW w:w="2551" w:type="dxa"/>
            <w:vAlign w:val="center"/>
          </w:tcPr>
          <w:p>
            <w:pPr>
              <w:pStyle w:val="12"/>
            </w:pPr>
            <w:r>
              <w:t>16.61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7.74</w:t>
            </w:r>
          </w:p>
        </w:tc>
        <w:tc>
          <w:tcPr>
            <w:tcW w:w="2551" w:type="dxa"/>
            <w:vAlign w:val="center"/>
          </w:tcPr>
          <w:p>
            <w:pPr>
              <w:pStyle w:val="12"/>
            </w:pPr>
          </w:p>
        </w:tc>
        <w:tc>
          <w:tcPr>
            <w:tcW w:w="2551" w:type="dxa"/>
            <w:vAlign w:val="center"/>
          </w:tcPr>
          <w:p>
            <w:pPr>
              <w:pStyle w:val="12"/>
            </w:pPr>
            <w:r>
              <w:t>7.74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16.48</w:t>
            </w:r>
          </w:p>
        </w:tc>
        <w:tc>
          <w:tcPr>
            <w:tcW w:w="2551" w:type="dxa"/>
            <w:vAlign w:val="center"/>
          </w:tcPr>
          <w:p>
            <w:pPr>
              <w:pStyle w:val="12"/>
            </w:pPr>
          </w:p>
        </w:tc>
        <w:tc>
          <w:tcPr>
            <w:tcW w:w="2551" w:type="dxa"/>
            <w:vAlign w:val="center"/>
          </w:tcPr>
          <w:p>
            <w:pPr>
              <w:pStyle w:val="12"/>
            </w:pPr>
            <w:r>
              <w:t>16.48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86.79</w:t>
            </w:r>
          </w:p>
        </w:tc>
        <w:tc>
          <w:tcPr>
            <w:tcW w:w="2551" w:type="dxa"/>
            <w:vAlign w:val="center"/>
          </w:tcPr>
          <w:p>
            <w:pPr>
              <w:pStyle w:val="12"/>
            </w:pPr>
            <w:r>
              <w:t>86.79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84.39</w:t>
            </w:r>
          </w:p>
        </w:tc>
        <w:tc>
          <w:tcPr>
            <w:tcW w:w="2551" w:type="dxa"/>
            <w:vAlign w:val="center"/>
          </w:tcPr>
          <w:p>
            <w:pPr>
              <w:pStyle w:val="12"/>
            </w:pPr>
            <w:r>
              <w:t>84.39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2.40</w:t>
            </w:r>
          </w:p>
        </w:tc>
        <w:tc>
          <w:tcPr>
            <w:tcW w:w="2551" w:type="dxa"/>
            <w:vAlign w:val="center"/>
          </w:tcPr>
          <w:p>
            <w:pPr>
              <w:pStyle w:val="12"/>
            </w:pPr>
            <w:r>
              <w:t>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500.00</w:t>
            </w:r>
          </w:p>
        </w:tc>
        <w:tc>
          <w:tcPr>
            <w:tcW w:w="2551" w:type="dxa"/>
            <w:vAlign w:val="center"/>
          </w:tcPr>
          <w:p>
            <w:pPr>
              <w:pStyle w:val="16"/>
            </w:pPr>
          </w:p>
        </w:tc>
        <w:tc>
          <w:tcPr>
            <w:tcW w:w="2551"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2120802</w:t>
            </w:r>
          </w:p>
        </w:tc>
        <w:tc>
          <w:tcPr>
            <w:tcW w:w="4535" w:type="dxa"/>
            <w:vAlign w:val="center"/>
          </w:tcPr>
          <w:p>
            <w:pPr>
              <w:pStyle w:val="13"/>
            </w:pPr>
            <w:r>
              <w:t>土地开发支出</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2120805</w:t>
            </w:r>
          </w:p>
        </w:tc>
        <w:tc>
          <w:tcPr>
            <w:tcW w:w="4535" w:type="dxa"/>
            <w:vAlign w:val="center"/>
          </w:tcPr>
          <w:p>
            <w:pPr>
              <w:pStyle w:val="13"/>
            </w:pPr>
            <w:r>
              <w:t>补助被征地农民支出</w:t>
            </w:r>
          </w:p>
        </w:tc>
        <w:tc>
          <w:tcPr>
            <w:tcW w:w="2551" w:type="dxa"/>
            <w:vAlign w:val="center"/>
          </w:tcPr>
          <w:p>
            <w:pPr>
              <w:pStyle w:val="12"/>
            </w:pPr>
            <w:r>
              <w:t>300.00</w:t>
            </w:r>
          </w:p>
        </w:tc>
        <w:tc>
          <w:tcPr>
            <w:tcW w:w="2551" w:type="dxa"/>
            <w:vAlign w:val="center"/>
          </w:tcPr>
          <w:p>
            <w:pPr>
              <w:pStyle w:val="12"/>
            </w:pPr>
          </w:p>
        </w:tc>
        <w:tc>
          <w:tcPr>
            <w:tcW w:w="2551" w:type="dxa"/>
            <w:vAlign w:val="center"/>
          </w:tcPr>
          <w:p>
            <w:pPr>
              <w:pStyle w:val="12"/>
            </w:pPr>
            <w:r>
              <w:t>300.00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“三公”经费小计</w:t>
            </w:r>
          </w:p>
        </w:tc>
        <w:tc>
          <w:tcPr>
            <w:tcW w:w="2381" w:type="dxa"/>
            <w:vAlign w:val="center"/>
          </w:tcPr>
          <w:p>
            <w:pPr>
              <w:pStyle w:val="16"/>
            </w:pPr>
            <w:r>
              <w:t>19.14</w:t>
            </w:r>
          </w:p>
        </w:tc>
        <w:tc>
          <w:tcPr>
            <w:tcW w:w="2381" w:type="dxa"/>
            <w:vAlign w:val="center"/>
          </w:tcPr>
          <w:p>
            <w:pPr>
              <w:pStyle w:val="16"/>
            </w:pPr>
            <w:r>
              <w:t>19.14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二、公务用车购置及运维费</w:t>
            </w:r>
          </w:p>
        </w:tc>
        <w:tc>
          <w:tcPr>
            <w:tcW w:w="2381" w:type="dxa"/>
            <w:vAlign w:val="center"/>
          </w:tcPr>
          <w:p>
            <w:pPr>
              <w:pStyle w:val="12"/>
            </w:pPr>
            <w:r>
              <w:t>16.61</w:t>
            </w:r>
          </w:p>
        </w:tc>
        <w:tc>
          <w:tcPr>
            <w:tcW w:w="2381" w:type="dxa"/>
            <w:vAlign w:val="center"/>
          </w:tcPr>
          <w:p>
            <w:pPr>
              <w:pStyle w:val="12"/>
            </w:pPr>
            <w:r>
              <w:t>16.61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公务用车运行维护费</w:t>
            </w:r>
          </w:p>
        </w:tc>
        <w:tc>
          <w:tcPr>
            <w:tcW w:w="2381" w:type="dxa"/>
            <w:vAlign w:val="center"/>
          </w:tcPr>
          <w:p>
            <w:pPr>
              <w:pStyle w:val="12"/>
            </w:pPr>
            <w:r>
              <w:t>16.61</w:t>
            </w:r>
          </w:p>
        </w:tc>
        <w:tc>
          <w:tcPr>
            <w:tcW w:w="2381" w:type="dxa"/>
            <w:vAlign w:val="center"/>
          </w:tcPr>
          <w:p>
            <w:pPr>
              <w:pStyle w:val="12"/>
            </w:pPr>
            <w:r>
              <w:t>16.61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三、公务接待费</w:t>
            </w:r>
          </w:p>
        </w:tc>
        <w:tc>
          <w:tcPr>
            <w:tcW w:w="2381" w:type="dxa"/>
            <w:vAlign w:val="center"/>
          </w:tcPr>
          <w:p>
            <w:pPr>
              <w:pStyle w:val="12"/>
            </w:pPr>
            <w:r>
              <w:t>2.53</w:t>
            </w:r>
          </w:p>
        </w:tc>
        <w:tc>
          <w:tcPr>
            <w:tcW w:w="2381" w:type="dxa"/>
            <w:vAlign w:val="center"/>
          </w:tcPr>
          <w:p>
            <w:pPr>
              <w:pStyle w:val="12"/>
            </w:pPr>
            <w:r>
              <w:t>2.53</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高阳县自然资源和规划局2026年部门预算</w:t>
      </w:r>
      <w:bookmarkStart w:id="21" w:name="_GoBack"/>
      <w:bookmarkEnd w:id="21"/>
      <w:r>
        <w:rPr>
          <w:rFonts w:ascii="方正书宋_GBK" w:hAnsi="方正书宋_GBK" w:eastAsia="方正书宋_GBK" w:cs="方正书宋_GBK"/>
          <w:color w:val="FFFFFF"/>
          <w:sz w:val="21"/>
        </w:rPr>
        <w:t>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高阳县自然资源和规划局2026年部门预算信息公开情况说明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按照《中华人民共和国预算法》、《地方预决算公开操作规程》和《关于进一步推进预算公开工作的实施意见》规定，现将高阳县自然资源和规划局2026年部门预算公开如下：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8"/>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8"/>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8"/>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8"/>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8"/>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8"/>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8"/>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8"/>
      </w:pPr>
      <w:r>
        <w:t>（九）负责管理全县地质勘查行业和地质工作。编制地质勘查规划并监督检查执行情况。管理县级地质勘查项目。组织实施重大地质矿产勘查专项。负责古生物化石的监督管理。</w:t>
      </w:r>
    </w:p>
    <w:p>
      <w:pPr>
        <w:pStyle w:val="18"/>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8"/>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8"/>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8"/>
      </w:pPr>
      <w:r>
        <w:t>（十三）负责全县测绘地理信息管理工作。负责基础测绘和测绘行业管理。负责测绘资质资格与信用管理，监督管理地理信息安全和市场秩序。负责地理信息公共服务管理。负责测量标志保护。</w:t>
      </w:r>
    </w:p>
    <w:p>
      <w:pPr>
        <w:pStyle w:val="18"/>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8"/>
      </w:pPr>
      <w:r>
        <w:t>（十五）开展全县自然资源国际合作。组织开展自然资源领域对外交流合作。</w:t>
      </w:r>
    </w:p>
    <w:p>
      <w:pPr>
        <w:pStyle w:val="18"/>
      </w:pPr>
      <w:r>
        <w:t>（十六）查处全县自然资源开发利用和国土空间规划及测绘重大违法案件。指导县有关行政执法工作。</w:t>
      </w:r>
    </w:p>
    <w:p>
      <w:pPr>
        <w:pStyle w:val="18"/>
      </w:pPr>
      <w:r>
        <w:t>（十七）负责指导全县城市规划、村镇规划、城市勘察测量和测绘工会；负责所辖县域总体规划，乡镇体系规划的审核及县域城镇体系规划的审核呈报等工作。</w:t>
      </w:r>
    </w:p>
    <w:p>
      <w:pPr>
        <w:pStyle w:val="18"/>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8"/>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8"/>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8"/>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高阳县自然资源和规划局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高阳县土地储备中心</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按照预算管理有关规定，目前部门预算的编制实行综合预算管理，即全部收入和支出都反映在预算中。高阳县自然资源和规划局机关及所属事业单位的收支包含在部门预算中。</w:t>
      </w:r>
    </w:p>
    <w:p>
      <w:pPr>
        <w:pStyle w:val="19"/>
      </w:pPr>
      <w:r>
        <w:t>1、收入说明</w:t>
      </w:r>
    </w:p>
    <w:p>
      <w:pPr>
        <w:pStyle w:val="19"/>
      </w:pPr>
      <w:r>
        <w:t>反映本部门当年全部收入。2026年预算收入3120.40万元，其中：一般公共预算收入2620.40万元，基金预算收入500.00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自然资源和规划局年度部门预算中支出预算的总体情况。2026年支出预算3120.40万元，其中基本支出1791.00万元，包括人员经费1638.46万元和日常公用经费152.54万元；项目支出1329.40万元，主要为土地征收费用及国土规划专项经费；预计下年使用的单位资金结余0.00万元。委托业务费共计安排665.80万元，主要用于因技术原因确需对外委托的辅助性工作和确有必要对外委托开展咨询、评审、规划等工作。</w:t>
      </w:r>
    </w:p>
    <w:p>
      <w:pPr>
        <w:pStyle w:val="19"/>
      </w:pPr>
      <w:r>
        <w:t>3、比上年增减情况</w:t>
      </w:r>
    </w:p>
    <w:p>
      <w:pPr>
        <w:pStyle w:val="19"/>
      </w:pPr>
      <w:r>
        <w:t>2026年预算收支安排3120.40万元，较2025年预算减少6541.93万元，其中：基本支出增加189.11万元，主要为人员经费增加185.63万元，日常公用经费增加3.48万元。项目支出减少6731.04万元，主要为预计今年储备土地出让收入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2026年，我部门机关运行经费共计安排152.54万元，主要用于日常维修、办公用房水电费、办公用房取暖费、办公用房物业管理费等日常运行支出。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19.14万元，其中因公出国（境）费0.00万元；公务用车购置及运维费16.61万元（其中：公务用车购置费为0.00万元，公务用车运维费16.61万元)；公务接待费2.53万元。与2025年相比减少0.13万元，增减变化的主要原因是按规定逐年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pPr>
        <w:pStyle w:val="22"/>
      </w:pPr>
      <w:r>
        <w:t>1、继续加强规划引领作用。（1）严格落实《高阳县国土空间总体规划（2021-2035年）》，优化空间布局，为全县经济社会可持续发展提供规划保障。（</w:t>
      </w:r>
      <w:r>
        <w:rPr>
          <w:rFonts w:hint="eastAsia"/>
          <w:lang w:val="en-US" w:eastAsia="zh-CN"/>
        </w:rPr>
        <w:t>2</w:t>
      </w:r>
      <w:r>
        <w:t>）</w:t>
      </w:r>
      <w:r>
        <w:rPr>
          <w:rFonts w:hint="eastAsia"/>
          <w:lang w:val="en-US" w:eastAsia="zh-CN"/>
        </w:rPr>
        <w:t>进一步加强和规范城镇开发边界管理，统筹城镇开发边界内新增空间使用，开展高阳县2026年度城镇开发边界局部优化方案编制工作。</w:t>
      </w:r>
      <w:r>
        <w:t>（</w:t>
      </w:r>
      <w:r>
        <w:rPr>
          <w:rFonts w:hint="eastAsia"/>
          <w:lang w:val="en-US" w:eastAsia="zh-CN"/>
        </w:rPr>
        <w:t>3</w:t>
      </w:r>
      <w:r>
        <w:t>）</w:t>
      </w:r>
      <w:r>
        <w:rPr>
          <w:rFonts w:hint="eastAsia"/>
          <w:lang w:val="en-US" w:eastAsia="zh-CN"/>
        </w:rPr>
        <w:t>提升城市品质,完成高</w:t>
      </w:r>
      <w:r>
        <w:rPr>
          <w:rFonts w:hint="eastAsia"/>
        </w:rPr>
        <w:t>阳县总体城市设计、重点地区城市设计、高阳县中心城区建筑风貌设计</w:t>
      </w:r>
      <w:r>
        <w:rPr>
          <w:rFonts w:hint="eastAsia"/>
          <w:lang w:eastAsia="zh-CN"/>
        </w:rPr>
        <w:t>。</w:t>
      </w:r>
      <w:r>
        <w:t>（</w:t>
      </w:r>
      <w:r>
        <w:rPr>
          <w:rFonts w:hint="eastAsia"/>
          <w:lang w:val="en-US" w:eastAsia="zh-CN"/>
        </w:rPr>
        <w:t>4</w:t>
      </w:r>
      <w:r>
        <w:t>）</w:t>
      </w:r>
      <w:r>
        <w:rPr>
          <w:rFonts w:hint="eastAsia"/>
          <w:lang w:val="en-US" w:eastAsia="zh-CN"/>
        </w:rPr>
        <w:t>深入开展重大项目服务保障工作，做好全县重大工程项目前期选址。</w:t>
      </w:r>
      <w:r>
        <w:t>（</w:t>
      </w:r>
      <w:r>
        <w:rPr>
          <w:rFonts w:hint="eastAsia"/>
          <w:lang w:val="en-US" w:eastAsia="zh-CN"/>
        </w:rPr>
        <w:t>5</w:t>
      </w:r>
      <w:r>
        <w:t>）</w:t>
      </w:r>
      <w:r>
        <w:rPr>
          <w:rFonts w:hint="eastAsia"/>
          <w:lang w:val="en-US" w:eastAsia="zh-CN"/>
        </w:rPr>
        <w:t>加快完成《高阳县中心城区市政基础设施专项规划》、《高阳县中心城区综合防灾减灾专项规划》、《高阳县综合交通专项规划（2020-2035）》、《高阳县中心城区公共体育设施专项规划（2022-2035年）》、《高阳县城市更新规划》五个专项规划的编制工作。</w:t>
      </w:r>
      <w:r>
        <w:t>（</w:t>
      </w:r>
      <w:r>
        <w:rPr>
          <w:rFonts w:hint="eastAsia"/>
          <w:lang w:val="en-US" w:eastAsia="zh-CN"/>
        </w:rPr>
        <w:t>6</w:t>
      </w:r>
      <w:r>
        <w:t>）</w:t>
      </w:r>
      <w:r>
        <w:rPr>
          <w:rFonts w:hint="eastAsia"/>
          <w:lang w:val="en-US" w:eastAsia="zh-CN"/>
        </w:rPr>
        <w:t>高阳县中心城区和七个镇国土空间详细规划正在编制，下一步将结合上级相关规定和落实总体规划的要求，同时统筹衔接专项规划，逐步推进编制工作顺利进行。</w:t>
      </w:r>
      <w:r>
        <w:t>（</w:t>
      </w:r>
      <w:r>
        <w:rPr>
          <w:rFonts w:hint="eastAsia"/>
          <w:lang w:val="en-US" w:eastAsia="zh-CN"/>
        </w:rPr>
        <w:t>7</w:t>
      </w:r>
      <w:r>
        <w:t>）</w:t>
      </w:r>
      <w:r>
        <w:rPr>
          <w:rFonts w:hint="eastAsia"/>
          <w:lang w:val="en-US" w:eastAsia="zh-CN"/>
        </w:rPr>
        <w:t>按照上级部门安排完成村庄规划和村庄风貌提升规划的编制工作。</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jc w:val="both"/>
        <w:textAlignment w:val="auto"/>
        <w:rPr>
          <w:rFonts w:hint="default" w:ascii="Times New Roman" w:hAnsi="Times New Roman" w:eastAsia="方正仿宋_GBK" w:cs="Times New Roman"/>
          <w:sz w:val="28"/>
          <w:szCs w:val="24"/>
          <w:lang w:val="en-US" w:eastAsia="zh-CN" w:bidi="ar-SA"/>
        </w:rPr>
      </w:pPr>
      <w:r>
        <w:rPr>
          <w:rFonts w:hint="eastAsia"/>
          <w:lang w:val="en-US" w:eastAsia="zh-CN"/>
        </w:rPr>
        <w:t>2</w:t>
      </w:r>
      <w:r>
        <w:t>、</w:t>
      </w:r>
      <w:r>
        <w:rPr>
          <w:rFonts w:hint="eastAsia" w:ascii="Times New Roman" w:hAnsi="Times New Roman" w:eastAsia="方正仿宋_GBK" w:cs="Times New Roman"/>
          <w:sz w:val="28"/>
          <w:szCs w:val="24"/>
          <w:lang w:val="en-US" w:eastAsia="zh-CN" w:bidi="ar-SA"/>
        </w:rPr>
        <w:t>全力推动土地征收工作。（1）严格征收程序。在征收前期工作中严格按照相关法律法规和政策要求，开展土地现状调查、社会稳定风险评估、拟定征地补偿安置方案等工作，以确保被征地农民的合法权益得到充分保障。（2）强化土地用途管制，在土地征收过程中，凡是涉及土地用途变更的，必须按照相关规定进行申报和审批，确保土地征收符合规划。（3）加强与镇街、财政、人社、住建、执法以及项目业主等征地拆迁涉及的相关单位沟通协调，共同研究解决土地征收工作中出现的各类问题，形成工作合力。（4）及时公开土地征收相关信息，保障群众的知情权和参与权，积极回应群众关切的问题。</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pPr>
      <w:r>
        <w:rPr>
          <w:rFonts w:hint="eastAsia" w:ascii="Times New Roman" w:hAnsi="Times New Roman" w:eastAsia="方正仿宋_GBK" w:cs="Times New Roman"/>
          <w:sz w:val="28"/>
          <w:szCs w:val="24"/>
          <w:lang w:val="en-US" w:eastAsia="zh-CN" w:bidi="ar-SA"/>
        </w:rPr>
        <w:t>3、尽心竭力保障发展用地。（1）提高土地要素保障能力。精准配置土地要素，确保项目用地需求，保障全县重点项目建设。加强存量土地的盘活利用，提高土地资源配置效率。完成我县项目用地及地下空间的划拨和出让工作。（2）推进工业解遗、集体建设用地审批、续期和违法图斑规划审核等工作，提升规划保障水平，同时积极指导企业提交申请，加速组织、整理申请材料报请政府审批，早日完善企业用地手续，推动县域经济高质量发展。（3）开展并完成我县2026年度土地储备项目和土地供应计划的编制和上报工作。（4）继续开展我县城镇建设用地级别与基准地价更新工作并及时公开。继续开展全民所有自然资源资产清查工作，配合完成省级核查质检和国家级核查质检、汇交入库。（5）积极争取土地收储专项债券</w:t>
      </w:r>
      <w:bookmarkStart w:id="14" w:name="OLE_LINK3"/>
      <w:r>
        <w:rPr>
          <w:rFonts w:hint="eastAsia" w:ascii="Times New Roman" w:hAnsi="Times New Roman" w:eastAsia="方正仿宋_GBK" w:cs="Times New Roman"/>
          <w:sz w:val="28"/>
          <w:szCs w:val="24"/>
          <w:lang w:val="en-US" w:eastAsia="zh-CN" w:bidi="ar-SA"/>
        </w:rPr>
        <w:t>。</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4、加快推进生态恢复治理项目。（</w:t>
      </w:r>
      <w:r>
        <w:t>1）</w:t>
      </w:r>
      <w:r>
        <w:rPr>
          <w:rFonts w:hint="eastAsia" w:ascii="Times New Roman" w:hAnsi="Times New Roman" w:eastAsia="方正仿宋_GBK" w:cs="Times New Roman"/>
          <w:sz w:val="28"/>
          <w:szCs w:val="24"/>
          <w:lang w:val="en-US" w:eastAsia="zh-CN" w:bidi="ar-SA"/>
        </w:rPr>
        <w:t>持续推进“三北”工程后续攻坚行动，聚焦本地生态脆弱区域，加快防沙治沙工作推进。落实国土绿化任务，结合乡村绿化提升工作，推进森林质量精准提升与沿孝义河基干林带、古树名木保护。（2）开展美国白蛾等重点病虫害专项防控，做好野生动物致害防控与外来物种管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pPr>
      <w:r>
        <w:rPr>
          <w:rFonts w:hint="eastAsia" w:ascii="Times New Roman" w:hAnsi="Times New Roman" w:eastAsia="方正仿宋_GBK" w:cs="Times New Roman"/>
          <w:sz w:val="28"/>
          <w:szCs w:val="24"/>
          <w:lang w:val="en-US" w:eastAsia="zh-CN" w:bidi="ar-SA"/>
        </w:rPr>
        <w:t>5、全力推进确权登记工作。（1）常态化推进“登记难”项目化解。关注12345热线、信访等渠道反映的“登记难”问题，充分利用各级部门出台的政策，积极推动“登记难”领域问题的化解。（2）持续推进农村宅基地房地一体化不动产登记，力争全面完成登记颁证任务。（3）常态化开展不动产登记队伍作风建设，把不动产队伍作风建设和营商环境结合起来，把不动产登记服务水平与为人民服务宗旨结合起来，全面提升不动产登记便民利民服务能力和水平，不断增加人民群众获得感和幸福感。</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持续加强土地保护工作。（1）持续开展国土变更调查工作。（2）</w:t>
      </w:r>
      <w:r>
        <w:rPr>
          <w:rFonts w:hint="default" w:ascii="Times New Roman" w:hAnsi="Times New Roman" w:eastAsia="方正仿宋_GBK" w:cs="Times New Roman"/>
          <w:sz w:val="28"/>
          <w:szCs w:val="24"/>
          <w:lang w:val="en-US" w:eastAsia="zh-CN" w:bidi="ar-SA"/>
        </w:rPr>
        <w:t>开展2026年度永久基本农田储备区动态调整工作。为进一步落实最严格的耕地保护制度、推动布局优化，结合重大建设项目占用等实际利用情况，对2025年度永久基本农田储备区更新成果进行评估，为后续永久基本农田布局优化调整夯实基础。</w:t>
      </w:r>
      <w:r>
        <w:rPr>
          <w:rFonts w:hint="eastAsia" w:ascii="Times New Roman" w:hAnsi="Times New Roman" w:eastAsia="方正仿宋_GBK" w:cs="Times New Roman"/>
          <w:sz w:val="28"/>
          <w:szCs w:val="24"/>
          <w:lang w:val="en-US" w:eastAsia="zh-CN" w:bidi="ar-SA"/>
        </w:rPr>
        <w:t>（3）开展永久基本农田年度评估调整工作。（4）</w:t>
      </w:r>
      <w:r>
        <w:rPr>
          <w:rFonts w:hint="default" w:ascii="Times New Roman" w:hAnsi="Times New Roman" w:eastAsia="方正仿宋_GBK" w:cs="Times New Roman"/>
          <w:sz w:val="28"/>
          <w:szCs w:val="24"/>
          <w:lang w:val="en-US" w:eastAsia="zh-CN" w:bidi="ar-SA"/>
        </w:rPr>
        <w:t>开展耕地恢复过渡期方案编制工作。对“三调”前占用耕地种树种果等造成的耕地流出情况，设置合理过渡期，逐步有序处置，推动耕地功能恢复。</w:t>
      </w:r>
      <w:r>
        <w:rPr>
          <w:rFonts w:hint="eastAsia" w:ascii="Times New Roman" w:hAnsi="Times New Roman" w:eastAsia="方正仿宋_GBK" w:cs="Times New Roman"/>
          <w:sz w:val="28"/>
          <w:szCs w:val="24"/>
          <w:lang w:val="en-US" w:eastAsia="zh-CN" w:bidi="ar-SA"/>
        </w:rPr>
        <w:t>（5）推进耕地占补平衡管理工作。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7、持续完善土地监管能力。持续加大对违法占地的管理，加强法律法规宣传，让群众提高依法用地意识，通过动态巡查、卫星遥感监测等手段实现违法用地“早发现、早制止”，确保违法占地线索及时举证销号，对违法用地行为“零容忍”，筑牢土地资源保护防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pPr>
      <w:r>
        <w:rPr>
          <w:rFonts w:hint="eastAsia" w:ascii="Times New Roman" w:hAnsi="Times New Roman" w:eastAsia="方正仿宋_GBK" w:cs="Times New Roman"/>
          <w:sz w:val="28"/>
          <w:szCs w:val="24"/>
          <w:lang w:val="en-US" w:eastAsia="zh-CN" w:bidi="ar-SA"/>
        </w:rPr>
        <w:t>8、不断提升矿政管理能力。（1）为解决高阳县北部新城新建小区的清洁供暖，大幅减排降耗，助力“双碳”目标，规范高阳县冬季供暖服务行为，拟建设集中式换热站。（2）协助宏润公司办理扩界到基岩层热储的采矿许可证，推进北部新城供暖热源计划顺利实施。</w:t>
      </w:r>
    </w:p>
    <w:p>
      <w:pPr>
        <w:numPr>
          <w:ilvl w:val="0"/>
          <w:numId w:val="2"/>
        </w:num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分项绩效目标</w:t>
      </w:r>
    </w:p>
    <w:p>
      <w:pPr>
        <w:pStyle w:val="23"/>
      </w:pPr>
      <w:r>
        <w:rPr>
          <w:rFonts w:hint="eastAsia"/>
          <w:lang w:val="en-US" w:eastAsia="zh-CN"/>
        </w:rPr>
        <w:t>1</w:t>
      </w:r>
      <w:r>
        <w:t>、加强土地利用管理</w:t>
      </w:r>
    </w:p>
    <w:p>
      <w:pPr>
        <w:pStyle w:val="23"/>
        <w:rPr>
          <w:rFonts w:hint="eastAsia"/>
          <w:lang w:val="en-US" w:eastAsia="zh-CN"/>
        </w:rPr>
      </w:pPr>
      <w:r>
        <w:t>绩效目标：</w:t>
      </w:r>
      <w:r>
        <w:rPr>
          <w:rFonts w:hint="eastAsia"/>
        </w:rPr>
        <w:t>精准配置土地要素</w:t>
      </w:r>
      <w:r>
        <w:rPr>
          <w:rFonts w:hint="eastAsia"/>
          <w:lang w:val="en-US" w:eastAsia="zh-CN"/>
        </w:rPr>
        <w:t>，</w:t>
      </w:r>
      <w:r>
        <w:rPr>
          <w:rFonts w:hint="eastAsia"/>
        </w:rPr>
        <w:t>加强存量土地的盘活利用</w:t>
      </w:r>
      <w:r>
        <w:rPr>
          <w:rFonts w:hint="eastAsia"/>
          <w:lang w:eastAsia="zh-CN"/>
        </w:rPr>
        <w:t>；</w:t>
      </w:r>
      <w:r>
        <w:rPr>
          <w:rFonts w:hint="eastAsia"/>
          <w:lang w:val="en-US" w:eastAsia="zh-CN"/>
        </w:rPr>
        <w:t>推进工业解遗、集体建设用地审批等工作，提升规划保障水平；开展并完成我县土地储备项目和土地供应计划的编制和上报工作。</w:t>
      </w:r>
    </w:p>
    <w:p>
      <w:pPr>
        <w:pStyle w:val="23"/>
      </w:pPr>
      <w:r>
        <w:t>绩效指标：</w:t>
      </w:r>
      <w:r>
        <w:rPr>
          <w:rFonts w:hint="eastAsia" w:ascii="仿宋_GB2312" w:hAnsi="仿宋_GB2312" w:eastAsia="仿宋_GB2312" w:cs="仿宋_GB2312"/>
          <w:b w:val="0"/>
          <w:bCs/>
          <w:color w:val="auto"/>
          <w:sz w:val="32"/>
          <w:szCs w:val="32"/>
        </w:rPr>
        <w:t>保障全县重点项目建设</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kern w:val="2"/>
          <w:sz w:val="32"/>
          <w:szCs w:val="32"/>
          <w:u w:val="none" w:color="auto"/>
          <w:lang w:val="en-US" w:eastAsia="zh-CN" w:bidi="ar-SA"/>
        </w:rPr>
        <w:t>推动县域经济高质量发展。</w:t>
      </w:r>
    </w:p>
    <w:p>
      <w:pPr>
        <w:pStyle w:val="23"/>
      </w:pPr>
      <w:r>
        <w:rPr>
          <w:rFonts w:hint="eastAsia"/>
          <w:lang w:val="en-US" w:eastAsia="zh-CN"/>
        </w:rPr>
        <w:t>2</w:t>
      </w:r>
      <w:r>
        <w:t>、开展规划编制</w:t>
      </w:r>
    </w:p>
    <w:p>
      <w:pPr>
        <w:pStyle w:val="23"/>
      </w:pPr>
      <w:r>
        <w:t>绩效目标：为保障规划的实施效果，建立规划实施的监控、考核和调控机制，使监控、考核和调控制度化，注意在实施过程中及时总结经验教训，适时调整，稳步推进。</w:t>
      </w:r>
    </w:p>
    <w:p>
      <w:pPr>
        <w:pStyle w:val="23"/>
      </w:pPr>
      <w:r>
        <w:t>绩效指标：规划编制按照总体规划编制导则编制提交成果，并通过专家评审，通过率达到100%。</w:t>
      </w:r>
    </w:p>
    <w:p>
      <w:pPr>
        <w:spacing w:before="0" w:after="0" w:line="500" w:lineRule="exact"/>
        <w:ind w:firstLine="560"/>
        <w:jc w:val="left"/>
        <w:outlineLvl w:val="9"/>
      </w:pPr>
      <w:bookmarkStart w:id="15" w:name="_Toc_3_3_0000000015"/>
      <w:r>
        <w:rPr>
          <w:rFonts w:ascii="Times New Roman" w:hAnsi="Times New Roman" w:eastAsia="方正仿宋_GBK" w:cs="Times New Roman"/>
          <w:color w:val="000000"/>
          <w:sz w:val="28"/>
        </w:rPr>
        <w:t>（三）工作保障措施</w:t>
      </w:r>
    </w:p>
    <w:p>
      <w:pPr>
        <w:pStyle w:val="24"/>
      </w:pPr>
      <w:r>
        <w:t>1、完善制度建设。将事前评估、目标管理、运行监控、绩效评价、结果应用等各项改革措施，有效融入预算管理的全过程，建立健全医疗保障领域预算绩效管理制度体系。</w:t>
      </w:r>
    </w:p>
    <w:p>
      <w:pPr>
        <w:pStyle w:val="24"/>
      </w:pPr>
      <w:r>
        <w:t>2、加强资金支出管理。围绕年度重点工作，进一步优化支出结构、编细编实预算、加快履行政府采购手续、尽快启动项目、及时支付资金、按规定及时下达资金等多种措施，确保支出进度达标。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5、规范财务资产管理。进一步完善财务管理制度，严格审批程序，加强固定资产登记、使用和报废处置管理，做到支出合理，物尽其用。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5"/>
    </w:p>
    <w:p>
      <w:pPr>
        <w:spacing w:before="10" w:after="10" w:line="360" w:lineRule="auto"/>
        <w:ind w:firstLine="1280" w:firstLineChars="4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6" w:name="_Toc_3_3_0000000016"/>
      <w:r>
        <w:rPr>
          <w:rFonts w:ascii="黑体" w:hAnsi="黑体" w:eastAsia="黑体" w:cs="黑体"/>
          <w:color w:val="000000"/>
          <w:sz w:val="32"/>
        </w:rPr>
        <w:t>七、部门项目预算安排情况及绩效目标</w:t>
      </w:r>
      <w:bookmarkEnd w:id="16"/>
    </w:p>
    <w:p>
      <w:pPr>
        <w:spacing w:before="0" w:after="0"/>
        <w:ind w:firstLine="560"/>
        <w:jc w:val="left"/>
        <w:outlineLvl w:val="9"/>
      </w:pPr>
      <w:r>
        <w:rPr>
          <w:rFonts w:ascii="方正仿宋_GBK" w:hAnsi="方正仿宋_GBK" w:eastAsia="方正仿宋_GBK" w:cs="方正仿宋_GBK"/>
          <w:color w:val="000000"/>
          <w:sz w:val="28"/>
        </w:rPr>
        <w:t>1、规划工作专项经费（劳务派遣）绩效目标表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13062826P00011510111F</w:t>
            </w:r>
          </w:p>
        </w:tc>
        <w:tc>
          <w:tcPr>
            <w:tcW w:w="2835" w:type="dxa"/>
            <w:vAlign w:val="center"/>
          </w:tcPr>
          <w:p>
            <w:pPr>
              <w:pStyle w:val="11"/>
            </w:pPr>
            <w:r>
              <w:t>项目名称</w:t>
            </w:r>
          </w:p>
        </w:tc>
        <w:tc>
          <w:tcPr>
            <w:tcW w:w="6095" w:type="dxa"/>
            <w:gridSpan w:val="3"/>
            <w:vAlign w:val="center"/>
          </w:tcPr>
          <w:p>
            <w:pPr>
              <w:pStyle w:val="13"/>
            </w:pPr>
            <w:r>
              <w:t>规划工作专项经费（劳务派遣）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65.80</w:t>
            </w:r>
          </w:p>
        </w:tc>
        <w:tc>
          <w:tcPr>
            <w:tcW w:w="2835" w:type="dxa"/>
            <w:vAlign w:val="center"/>
          </w:tcPr>
          <w:p>
            <w:pPr>
              <w:pStyle w:val="11"/>
            </w:pPr>
            <w:r>
              <w:t>其中：财政    资金</w:t>
            </w:r>
          </w:p>
        </w:tc>
        <w:tc>
          <w:tcPr>
            <w:tcW w:w="2551" w:type="dxa"/>
            <w:vAlign w:val="center"/>
          </w:tcPr>
          <w:p>
            <w:pPr>
              <w:pStyle w:val="13"/>
            </w:pPr>
            <w:r>
              <w:t>65.80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16.25</w:t>
            </w:r>
          </w:p>
        </w:tc>
        <w:tc>
          <w:tcPr>
            <w:tcW w:w="2835" w:type="dxa"/>
            <w:vAlign w:val="center"/>
          </w:tcPr>
          <w:p>
            <w:pPr>
              <w:pStyle w:val="14"/>
            </w:pPr>
            <w:r>
              <w:t>32.50</w:t>
            </w:r>
          </w:p>
        </w:tc>
        <w:tc>
          <w:tcPr>
            <w:tcW w:w="2551" w:type="dxa"/>
            <w:vAlign w:val="center"/>
          </w:tcPr>
          <w:p>
            <w:pPr>
              <w:pStyle w:val="14"/>
            </w:pPr>
            <w:r>
              <w:t>48.75</w:t>
            </w:r>
          </w:p>
        </w:tc>
        <w:tc>
          <w:tcPr>
            <w:tcW w:w="3544" w:type="dxa"/>
            <w:gridSpan w:val="2"/>
            <w:vAlign w:val="center"/>
          </w:tcPr>
          <w:p>
            <w:pPr>
              <w:pStyle w:val="14"/>
            </w:pPr>
            <w:r>
              <w:t>65.80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1.完成高阳县国土空间总体规划项目。</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人数</w:t>
            </w:r>
          </w:p>
        </w:tc>
        <w:tc>
          <w:tcPr>
            <w:tcW w:w="5386" w:type="dxa"/>
            <w:vAlign w:val="center"/>
          </w:tcPr>
          <w:p>
            <w:pPr>
              <w:pStyle w:val="13"/>
            </w:pPr>
            <w:r>
              <w:t>招聘劳务派遣的人数</w:t>
            </w:r>
          </w:p>
        </w:tc>
        <w:tc>
          <w:tcPr>
            <w:tcW w:w="2268" w:type="dxa"/>
            <w:vAlign w:val="center"/>
          </w:tcPr>
          <w:p>
            <w:pPr>
              <w:pStyle w:val="13"/>
            </w:pPr>
            <w:r>
              <w:t>12人</w:t>
            </w:r>
          </w:p>
        </w:tc>
        <w:tc>
          <w:tcPr>
            <w:tcW w:w="1276" w:type="dxa"/>
            <w:vAlign w:val="center"/>
          </w:tcPr>
          <w:p>
            <w:pPr>
              <w:pStyle w:val="13"/>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资金支付的及时性</w:t>
            </w:r>
          </w:p>
        </w:tc>
        <w:tc>
          <w:tcPr>
            <w:tcW w:w="5386" w:type="dxa"/>
            <w:vAlign w:val="center"/>
          </w:tcPr>
          <w:p>
            <w:pPr>
              <w:pStyle w:val="13"/>
            </w:pPr>
            <w:r>
              <w:t>按月支付劳务派遣人员工资</w:t>
            </w:r>
          </w:p>
        </w:tc>
        <w:tc>
          <w:tcPr>
            <w:tcW w:w="2268" w:type="dxa"/>
            <w:vAlign w:val="center"/>
          </w:tcPr>
          <w:p>
            <w:pPr>
              <w:pStyle w:val="13"/>
            </w:pPr>
            <w:r>
              <w:t>100%</w:t>
            </w:r>
          </w:p>
        </w:tc>
        <w:tc>
          <w:tcPr>
            <w:tcW w:w="1276" w:type="dxa"/>
            <w:vAlign w:val="center"/>
          </w:tcPr>
          <w:p>
            <w:pPr>
              <w:pStyle w:val="13"/>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设计成果对实际工作的指导意义</w:t>
            </w:r>
          </w:p>
        </w:tc>
        <w:tc>
          <w:tcPr>
            <w:tcW w:w="2268" w:type="dxa"/>
            <w:vAlign w:val="center"/>
          </w:tcPr>
          <w:p>
            <w:pPr>
              <w:pStyle w:val="13"/>
            </w:pPr>
            <w:r>
              <w:t>≥90%</w:t>
            </w:r>
          </w:p>
        </w:tc>
        <w:tc>
          <w:tcPr>
            <w:tcW w:w="1276" w:type="dxa"/>
            <w:vAlign w:val="center"/>
          </w:tcPr>
          <w:p>
            <w:pPr>
              <w:pStyle w:val="13"/>
            </w:pPr>
            <w:r>
              <w:t>《高阳县财政局关于部分县级预算部门招聘劳务派遣人员的请示》</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2、冀财资环[2025]68号-林业草原改革发展资金绩效目标表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13062826P00062010007H</w:t>
            </w:r>
          </w:p>
        </w:tc>
        <w:tc>
          <w:tcPr>
            <w:tcW w:w="2835" w:type="dxa"/>
            <w:vAlign w:val="center"/>
          </w:tcPr>
          <w:p>
            <w:pPr>
              <w:pStyle w:val="11"/>
            </w:pPr>
            <w:r>
              <w:t>项目名称</w:t>
            </w:r>
          </w:p>
        </w:tc>
        <w:tc>
          <w:tcPr>
            <w:tcW w:w="6095" w:type="dxa"/>
            <w:gridSpan w:val="3"/>
            <w:vAlign w:val="center"/>
          </w:tcPr>
          <w:p>
            <w:pPr>
              <w:pStyle w:val="13"/>
            </w:pPr>
            <w:r>
              <w:t>冀财资环[2025]68号-林业草原改革发展资金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44.00</w:t>
            </w:r>
          </w:p>
        </w:tc>
        <w:tc>
          <w:tcPr>
            <w:tcW w:w="2835" w:type="dxa"/>
            <w:vAlign w:val="center"/>
          </w:tcPr>
          <w:p>
            <w:pPr>
              <w:pStyle w:val="11"/>
            </w:pPr>
            <w:r>
              <w:t>其中：财政    资金</w:t>
            </w:r>
          </w:p>
        </w:tc>
        <w:tc>
          <w:tcPr>
            <w:tcW w:w="2551" w:type="dxa"/>
            <w:vAlign w:val="center"/>
          </w:tcPr>
          <w:p>
            <w:pPr>
              <w:pStyle w:val="13"/>
            </w:pPr>
            <w:r>
              <w:t>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用于村庄绿化提升及重点工程奖补。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44.00</w:t>
            </w:r>
          </w:p>
        </w:tc>
        <w:tc>
          <w:tcPr>
            <w:tcW w:w="2551" w:type="dxa"/>
            <w:vAlign w:val="center"/>
          </w:tcPr>
          <w:p>
            <w:pPr>
              <w:pStyle w:val="14"/>
            </w:pPr>
            <w:r>
              <w:t>44.00</w:t>
            </w:r>
          </w:p>
        </w:tc>
        <w:tc>
          <w:tcPr>
            <w:tcW w:w="3544" w:type="dxa"/>
            <w:gridSpan w:val="2"/>
            <w:vAlign w:val="center"/>
          </w:tcPr>
          <w:p>
            <w:pPr>
              <w:pStyle w:val="14"/>
            </w:pPr>
            <w:r>
              <w:t>44.00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1.全力做好我县林业建设工作，加大宣传力度，保护全县市森林资源和生态环境。</w:t>
            </w:r>
            <w:r>
              <w:tab/>
            </w:r>
            <w:r>
              <w:tab/>
            </w:r>
            <w:r>
              <w:tab/>
            </w:r>
            <w:r>
              <w:tab/>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村庄绿化</w:t>
            </w:r>
          </w:p>
        </w:tc>
        <w:tc>
          <w:tcPr>
            <w:tcW w:w="5386" w:type="dxa"/>
            <w:vAlign w:val="center"/>
          </w:tcPr>
          <w:p>
            <w:pPr>
              <w:pStyle w:val="13"/>
            </w:pPr>
            <w:r>
              <w:t>村庄绿化个数</w:t>
            </w:r>
          </w:p>
        </w:tc>
        <w:tc>
          <w:tcPr>
            <w:tcW w:w="2268" w:type="dxa"/>
            <w:vAlign w:val="center"/>
          </w:tcPr>
          <w:p>
            <w:pPr>
              <w:pStyle w:val="13"/>
            </w:pPr>
            <w:r>
              <w:t>7个</w:t>
            </w:r>
          </w:p>
        </w:tc>
        <w:tc>
          <w:tcPr>
            <w:tcW w:w="1276" w:type="dxa"/>
            <w:vAlign w:val="center"/>
          </w:tcPr>
          <w:p>
            <w:pPr>
              <w:pStyle w:val="13"/>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项目验收工作</w:t>
            </w:r>
          </w:p>
        </w:tc>
        <w:tc>
          <w:tcPr>
            <w:tcW w:w="5386" w:type="dxa"/>
            <w:vAlign w:val="center"/>
          </w:tcPr>
          <w:p>
            <w:pPr>
              <w:pStyle w:val="13"/>
            </w:pPr>
            <w:r>
              <w:t>项目验收工作通过率</w:t>
            </w:r>
          </w:p>
        </w:tc>
        <w:tc>
          <w:tcPr>
            <w:tcW w:w="2268" w:type="dxa"/>
            <w:vAlign w:val="center"/>
          </w:tcPr>
          <w:p>
            <w:pPr>
              <w:pStyle w:val="13"/>
            </w:pPr>
            <w:r>
              <w:t>≥90%</w:t>
            </w:r>
          </w:p>
        </w:tc>
        <w:tc>
          <w:tcPr>
            <w:tcW w:w="1276" w:type="dxa"/>
            <w:vAlign w:val="center"/>
          </w:tcPr>
          <w:p>
            <w:pPr>
              <w:pStyle w:val="13"/>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按规定时间完成工作</w:t>
            </w:r>
          </w:p>
        </w:tc>
        <w:tc>
          <w:tcPr>
            <w:tcW w:w="2268" w:type="dxa"/>
            <w:vAlign w:val="center"/>
          </w:tcPr>
          <w:p>
            <w:pPr>
              <w:pStyle w:val="13"/>
            </w:pPr>
            <w:r>
              <w:t>≥90%</w:t>
            </w:r>
          </w:p>
        </w:tc>
        <w:tc>
          <w:tcPr>
            <w:tcW w:w="1276" w:type="dxa"/>
            <w:vAlign w:val="center"/>
          </w:tcPr>
          <w:p>
            <w:pPr>
              <w:pStyle w:val="13"/>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≤44万元</w:t>
            </w:r>
          </w:p>
        </w:tc>
        <w:tc>
          <w:tcPr>
            <w:tcW w:w="1276" w:type="dxa"/>
            <w:vAlign w:val="center"/>
          </w:tcPr>
          <w:p>
            <w:pPr>
              <w:pStyle w:val="13"/>
            </w:pPr>
            <w:r>
              <w:t>冀财资环[2025]68号-林业改革发展补助</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生态环境</w:t>
            </w:r>
          </w:p>
        </w:tc>
        <w:tc>
          <w:tcPr>
            <w:tcW w:w="5386" w:type="dxa"/>
            <w:vAlign w:val="center"/>
          </w:tcPr>
          <w:p>
            <w:pPr>
              <w:pStyle w:val="13"/>
            </w:pPr>
            <w:r>
              <w:t>改善生态环境</w:t>
            </w:r>
          </w:p>
        </w:tc>
        <w:tc>
          <w:tcPr>
            <w:tcW w:w="2268" w:type="dxa"/>
            <w:vAlign w:val="center"/>
          </w:tcPr>
          <w:p>
            <w:pPr>
              <w:pStyle w:val="13"/>
            </w:pPr>
            <w:r>
              <w:t>维护全县森林资源和维护生态，促进生态文明建设</w:t>
            </w:r>
          </w:p>
        </w:tc>
        <w:tc>
          <w:tcPr>
            <w:tcW w:w="1276" w:type="dxa"/>
            <w:vAlign w:val="center"/>
          </w:tcPr>
          <w:p>
            <w:pPr>
              <w:pStyle w:val="13"/>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3、冀财资环[2025]69号-林业草原改革发展资金（林草有害生物防治）绩效目标表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13062826P00062010006X</w:t>
            </w:r>
          </w:p>
        </w:tc>
        <w:tc>
          <w:tcPr>
            <w:tcW w:w="2835" w:type="dxa"/>
            <w:vAlign w:val="center"/>
          </w:tcPr>
          <w:p>
            <w:pPr>
              <w:pStyle w:val="11"/>
            </w:pPr>
            <w:r>
              <w:t>项目名称</w:t>
            </w:r>
          </w:p>
        </w:tc>
        <w:tc>
          <w:tcPr>
            <w:tcW w:w="6095" w:type="dxa"/>
            <w:gridSpan w:val="3"/>
            <w:vAlign w:val="center"/>
          </w:tcPr>
          <w:p>
            <w:pPr>
              <w:pStyle w:val="13"/>
            </w:pPr>
            <w:r>
              <w:t>冀财资环[2025]69号-林业草原改革发展资金（林草有害生物防治）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17.60</w:t>
            </w:r>
          </w:p>
        </w:tc>
        <w:tc>
          <w:tcPr>
            <w:tcW w:w="2835" w:type="dxa"/>
            <w:vAlign w:val="center"/>
          </w:tcPr>
          <w:p>
            <w:pPr>
              <w:pStyle w:val="11"/>
            </w:pPr>
            <w:r>
              <w:t>其中：财政    资金</w:t>
            </w:r>
          </w:p>
        </w:tc>
        <w:tc>
          <w:tcPr>
            <w:tcW w:w="2551" w:type="dxa"/>
            <w:vAlign w:val="center"/>
          </w:tcPr>
          <w:p>
            <w:pPr>
              <w:pStyle w:val="13"/>
            </w:pPr>
            <w:r>
              <w:t>17.60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t>17.60</w:t>
            </w:r>
          </w:p>
        </w:tc>
        <w:tc>
          <w:tcPr>
            <w:tcW w:w="3544" w:type="dxa"/>
            <w:gridSpan w:val="2"/>
            <w:vAlign w:val="center"/>
          </w:tcPr>
          <w:p>
            <w:pPr>
              <w:pStyle w:val="14"/>
            </w:pPr>
            <w:r>
              <w:t>17.60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1.预防和减少自然灾害对森林资源的损失.</w:t>
            </w:r>
            <w:r>
              <w:tab/>
            </w:r>
            <w:r>
              <w:tab/>
            </w:r>
            <w:r>
              <w:tab/>
            </w:r>
          </w:p>
          <w:p>
            <w:pPr>
              <w:pStyle w:val="13"/>
            </w:pP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飞防次数</w:t>
            </w:r>
          </w:p>
        </w:tc>
        <w:tc>
          <w:tcPr>
            <w:tcW w:w="5386" w:type="dxa"/>
            <w:vAlign w:val="center"/>
          </w:tcPr>
          <w:p>
            <w:pPr>
              <w:pStyle w:val="13"/>
            </w:pPr>
            <w:r>
              <w:t>全年预计飞防次数</w:t>
            </w:r>
          </w:p>
        </w:tc>
        <w:tc>
          <w:tcPr>
            <w:tcW w:w="2268" w:type="dxa"/>
            <w:vAlign w:val="center"/>
          </w:tcPr>
          <w:p>
            <w:pPr>
              <w:pStyle w:val="13"/>
            </w:pPr>
            <w:r>
              <w:t>≥2次</w:t>
            </w:r>
          </w:p>
        </w:tc>
        <w:tc>
          <w:tcPr>
            <w:tcW w:w="1276" w:type="dxa"/>
            <w:vAlign w:val="center"/>
          </w:tcPr>
          <w:p>
            <w:pPr>
              <w:pStyle w:val="13"/>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林业有害生物防治工作完成率</w:t>
            </w:r>
          </w:p>
        </w:tc>
        <w:tc>
          <w:tcPr>
            <w:tcW w:w="5386" w:type="dxa"/>
            <w:vAlign w:val="center"/>
          </w:tcPr>
          <w:p>
            <w:pPr>
              <w:pStyle w:val="13"/>
            </w:pPr>
            <w:r>
              <w:t>林业有害生物防治工作的完成率</w:t>
            </w:r>
          </w:p>
        </w:tc>
        <w:tc>
          <w:tcPr>
            <w:tcW w:w="2268" w:type="dxa"/>
            <w:vAlign w:val="center"/>
          </w:tcPr>
          <w:p>
            <w:pPr>
              <w:pStyle w:val="13"/>
            </w:pPr>
            <w:r>
              <w:t>≥90%</w:t>
            </w:r>
          </w:p>
        </w:tc>
        <w:tc>
          <w:tcPr>
            <w:tcW w:w="1276" w:type="dxa"/>
            <w:vAlign w:val="center"/>
          </w:tcPr>
          <w:p>
            <w:pPr>
              <w:pStyle w:val="13"/>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工作开展及时性</w:t>
            </w:r>
          </w:p>
        </w:tc>
        <w:tc>
          <w:tcPr>
            <w:tcW w:w="5386" w:type="dxa"/>
            <w:vAlign w:val="center"/>
          </w:tcPr>
          <w:p>
            <w:pPr>
              <w:pStyle w:val="13"/>
            </w:pPr>
            <w:r>
              <w:t>林业有害生物检疫工作开展及时性</w:t>
            </w:r>
          </w:p>
        </w:tc>
        <w:tc>
          <w:tcPr>
            <w:tcW w:w="2268" w:type="dxa"/>
            <w:vAlign w:val="center"/>
          </w:tcPr>
          <w:p>
            <w:pPr>
              <w:pStyle w:val="13"/>
            </w:pPr>
            <w:r>
              <w:t>≥90%</w:t>
            </w:r>
          </w:p>
        </w:tc>
        <w:tc>
          <w:tcPr>
            <w:tcW w:w="1276" w:type="dxa"/>
            <w:vAlign w:val="center"/>
          </w:tcPr>
          <w:p>
            <w:pPr>
              <w:pStyle w:val="13"/>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病虫害防治工作所需费用</w:t>
            </w:r>
          </w:p>
        </w:tc>
        <w:tc>
          <w:tcPr>
            <w:tcW w:w="2268" w:type="dxa"/>
            <w:vAlign w:val="center"/>
          </w:tcPr>
          <w:p>
            <w:pPr>
              <w:pStyle w:val="13"/>
            </w:pPr>
            <w:r>
              <w:t>17.6万元</w:t>
            </w:r>
          </w:p>
        </w:tc>
        <w:tc>
          <w:tcPr>
            <w:tcW w:w="1276" w:type="dxa"/>
            <w:vAlign w:val="center"/>
          </w:tcPr>
          <w:p>
            <w:pPr>
              <w:pStyle w:val="13"/>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林业有害生物成灾发生率</w:t>
            </w:r>
          </w:p>
        </w:tc>
        <w:tc>
          <w:tcPr>
            <w:tcW w:w="5386" w:type="dxa"/>
            <w:vAlign w:val="center"/>
          </w:tcPr>
          <w:p>
            <w:pPr>
              <w:pStyle w:val="13"/>
            </w:pPr>
            <w:r>
              <w:t>林业有害生物灾害发生面积与全县森林面积的比率</w:t>
            </w:r>
          </w:p>
        </w:tc>
        <w:tc>
          <w:tcPr>
            <w:tcW w:w="2268" w:type="dxa"/>
            <w:vAlign w:val="center"/>
          </w:tcPr>
          <w:p>
            <w:pPr>
              <w:pStyle w:val="13"/>
            </w:pPr>
            <w:r>
              <w:t>≤0.1%</w:t>
            </w:r>
          </w:p>
        </w:tc>
        <w:tc>
          <w:tcPr>
            <w:tcW w:w="1276" w:type="dxa"/>
            <w:vAlign w:val="center"/>
          </w:tcPr>
          <w:p>
            <w:pPr>
              <w:pStyle w:val="13"/>
            </w:pPr>
            <w:r>
              <w:t>《国务院办公厅关于进一步加强美国白蛾防治工作的通知》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4、土地征收费用绩效目标表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13062826P00060510001R</w:t>
            </w:r>
          </w:p>
        </w:tc>
        <w:tc>
          <w:tcPr>
            <w:tcW w:w="2835" w:type="dxa"/>
            <w:vAlign w:val="center"/>
          </w:tcPr>
          <w:p>
            <w:pPr>
              <w:pStyle w:val="11"/>
            </w:pPr>
            <w:r>
              <w:t>项目名称</w:t>
            </w:r>
          </w:p>
        </w:tc>
        <w:tc>
          <w:tcPr>
            <w:tcW w:w="6095" w:type="dxa"/>
            <w:gridSpan w:val="3"/>
            <w:vAlign w:val="center"/>
          </w:tcPr>
          <w:p>
            <w:pPr>
              <w:pStyle w:val="13"/>
            </w:pPr>
            <w:r>
              <w:t>土地征收费用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用于土地征收工作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500.00</w:t>
            </w:r>
          </w:p>
        </w:tc>
        <w:tc>
          <w:tcPr>
            <w:tcW w:w="2835" w:type="dxa"/>
            <w:vAlign w:val="center"/>
          </w:tcPr>
          <w:p>
            <w:pPr>
              <w:pStyle w:val="14"/>
            </w:pPr>
            <w:r>
              <w:t>500.00</w:t>
            </w:r>
          </w:p>
        </w:tc>
        <w:tc>
          <w:tcPr>
            <w:tcW w:w="2551" w:type="dxa"/>
            <w:vAlign w:val="center"/>
          </w:tcPr>
          <w:p>
            <w:pPr>
              <w:pStyle w:val="14"/>
            </w:pPr>
            <w:r>
              <w:t>500.00</w:t>
            </w:r>
          </w:p>
        </w:tc>
        <w:tc>
          <w:tcPr>
            <w:tcW w:w="3544" w:type="dxa"/>
            <w:gridSpan w:val="2"/>
            <w:vAlign w:val="center"/>
          </w:tcPr>
          <w:p>
            <w:pPr>
              <w:pStyle w:val="14"/>
            </w:pPr>
            <w:r>
              <w:t>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1.完成土地的征收工作。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面积</w:t>
            </w:r>
          </w:p>
        </w:tc>
        <w:tc>
          <w:tcPr>
            <w:tcW w:w="5386" w:type="dxa"/>
            <w:vAlign w:val="center"/>
          </w:tcPr>
          <w:p>
            <w:pPr>
              <w:pStyle w:val="13"/>
            </w:pPr>
            <w:r>
              <w:t>征收土地面积</w:t>
            </w:r>
          </w:p>
        </w:tc>
        <w:tc>
          <w:tcPr>
            <w:tcW w:w="2268" w:type="dxa"/>
            <w:vAlign w:val="center"/>
          </w:tcPr>
          <w:p>
            <w:pPr>
              <w:pStyle w:val="13"/>
            </w:pPr>
            <w:r>
              <w:t>≥10亩</w:t>
            </w:r>
          </w:p>
        </w:tc>
        <w:tc>
          <w:tcPr>
            <w:tcW w:w="1276" w:type="dxa"/>
            <w:vAlign w:val="center"/>
          </w:tcPr>
          <w:p>
            <w:pPr>
              <w:pStyle w:val="13"/>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工作高质量完成率</w:t>
            </w:r>
          </w:p>
        </w:tc>
        <w:tc>
          <w:tcPr>
            <w:tcW w:w="2268" w:type="dxa"/>
            <w:vAlign w:val="center"/>
          </w:tcPr>
          <w:p>
            <w:pPr>
              <w:pStyle w:val="13"/>
            </w:pPr>
            <w:r>
              <w:t>≥90%</w:t>
            </w:r>
          </w:p>
        </w:tc>
        <w:tc>
          <w:tcPr>
            <w:tcW w:w="1276" w:type="dxa"/>
            <w:vAlign w:val="center"/>
          </w:tcPr>
          <w:p>
            <w:pPr>
              <w:pStyle w:val="13"/>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资金规定时间内支付</w:t>
            </w:r>
          </w:p>
        </w:tc>
        <w:tc>
          <w:tcPr>
            <w:tcW w:w="2268" w:type="dxa"/>
            <w:vAlign w:val="center"/>
          </w:tcPr>
          <w:p>
            <w:pPr>
              <w:pStyle w:val="13"/>
            </w:pPr>
            <w:r>
              <w:t>≥90%</w:t>
            </w:r>
          </w:p>
        </w:tc>
        <w:tc>
          <w:tcPr>
            <w:tcW w:w="1276" w:type="dxa"/>
            <w:vAlign w:val="center"/>
          </w:tcPr>
          <w:p>
            <w:pPr>
              <w:pStyle w:val="13"/>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支付费用</w:t>
            </w:r>
          </w:p>
        </w:tc>
        <w:tc>
          <w:tcPr>
            <w:tcW w:w="5386" w:type="dxa"/>
            <w:vAlign w:val="center"/>
          </w:tcPr>
          <w:p>
            <w:pPr>
              <w:pStyle w:val="13"/>
            </w:pPr>
            <w:r>
              <w:t>支付社保费、风险基金等费用</w:t>
            </w:r>
          </w:p>
        </w:tc>
        <w:tc>
          <w:tcPr>
            <w:tcW w:w="2268" w:type="dxa"/>
            <w:vAlign w:val="center"/>
          </w:tcPr>
          <w:p>
            <w:pPr>
              <w:pStyle w:val="13"/>
            </w:pPr>
            <w:r>
              <w:t>≤500万元</w:t>
            </w:r>
          </w:p>
        </w:tc>
        <w:tc>
          <w:tcPr>
            <w:tcW w:w="1276" w:type="dxa"/>
            <w:vAlign w:val="center"/>
          </w:tcPr>
          <w:p>
            <w:pPr>
              <w:pStyle w:val="13"/>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避免国有资产流失</w:t>
            </w:r>
          </w:p>
        </w:tc>
        <w:tc>
          <w:tcPr>
            <w:tcW w:w="5386" w:type="dxa"/>
            <w:vAlign w:val="center"/>
          </w:tcPr>
          <w:p>
            <w:pPr>
              <w:pStyle w:val="13"/>
            </w:pPr>
            <w:r>
              <w:t>保障施工单位合法权益</w:t>
            </w:r>
          </w:p>
        </w:tc>
        <w:tc>
          <w:tcPr>
            <w:tcW w:w="2268" w:type="dxa"/>
            <w:vAlign w:val="center"/>
          </w:tcPr>
          <w:p>
            <w:pPr>
              <w:pStyle w:val="13"/>
            </w:pPr>
            <w:r>
              <w:t>避免国有资产流失</w:t>
            </w:r>
          </w:p>
        </w:tc>
        <w:tc>
          <w:tcPr>
            <w:tcW w:w="1276" w:type="dxa"/>
            <w:vAlign w:val="center"/>
          </w:tcPr>
          <w:p>
            <w:pPr>
              <w:pStyle w:val="13"/>
            </w:pPr>
            <w:r>
              <w:t>河北省人民政府办公厅关于做好近期建设用地报批工作的通知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5、资规局国土规划专项经费绩效目标表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13062826P00028410405J</w:t>
            </w:r>
          </w:p>
        </w:tc>
        <w:tc>
          <w:tcPr>
            <w:tcW w:w="2835" w:type="dxa"/>
            <w:vAlign w:val="center"/>
          </w:tcPr>
          <w:p>
            <w:pPr>
              <w:pStyle w:val="11"/>
            </w:pPr>
            <w:r>
              <w:t>项目名称</w:t>
            </w:r>
          </w:p>
        </w:tc>
        <w:tc>
          <w:tcPr>
            <w:tcW w:w="6095" w:type="dxa"/>
            <w:gridSpan w:val="3"/>
            <w:vAlign w:val="center"/>
          </w:tcPr>
          <w:p>
            <w:pPr>
              <w:pStyle w:val="13"/>
            </w:pPr>
            <w:r>
              <w:t>资规局国土规划专项经费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w:t>
            </w:r>
          </w:p>
        </w:tc>
        <w:tc>
          <w:tcPr>
            <w:tcW w:w="2835" w:type="dxa"/>
            <w:vAlign w:val="center"/>
          </w:tcPr>
          <w:p>
            <w:pPr>
              <w:pStyle w:val="11"/>
            </w:pPr>
            <w:r>
              <w:t>其中：财政    资金</w:t>
            </w:r>
          </w:p>
        </w:tc>
        <w:tc>
          <w:tcPr>
            <w:tcW w:w="2551" w:type="dxa"/>
            <w:vAlign w:val="center"/>
          </w:tcPr>
          <w:p>
            <w:pPr>
              <w:pStyle w:val="13"/>
            </w:pPr>
            <w:r>
              <w:t>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用于规划、林业、土地相关项目的支出。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300.00</w:t>
            </w:r>
          </w:p>
        </w:tc>
        <w:tc>
          <w:tcPr>
            <w:tcW w:w="2835" w:type="dxa"/>
            <w:vAlign w:val="center"/>
          </w:tcPr>
          <w:p>
            <w:pPr>
              <w:pStyle w:val="14"/>
            </w:pPr>
            <w:r>
              <w:t>600.00</w:t>
            </w:r>
          </w:p>
        </w:tc>
        <w:tc>
          <w:tcPr>
            <w:tcW w:w="2551" w:type="dxa"/>
            <w:vAlign w:val="center"/>
          </w:tcPr>
          <w:p>
            <w:pPr>
              <w:pStyle w:val="14"/>
            </w:pPr>
            <w:r>
              <w:t>600.00</w:t>
            </w:r>
          </w:p>
        </w:tc>
        <w:tc>
          <w:tcPr>
            <w:tcW w:w="3544" w:type="dxa"/>
            <w:gridSpan w:val="2"/>
            <w:vAlign w:val="center"/>
          </w:tcPr>
          <w:p>
            <w:pPr>
              <w:pStyle w:val="14"/>
            </w:pPr>
            <w:r>
              <w:t>600.00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1.完成相关规划编制工作。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规划编制覆盖率</w:t>
            </w:r>
          </w:p>
        </w:tc>
        <w:tc>
          <w:tcPr>
            <w:tcW w:w="5386" w:type="dxa"/>
            <w:vAlign w:val="center"/>
          </w:tcPr>
          <w:p>
            <w:pPr>
              <w:pStyle w:val="13"/>
            </w:pPr>
            <w:r>
              <w:t>规划编制覆盖面积</w:t>
            </w:r>
          </w:p>
        </w:tc>
        <w:tc>
          <w:tcPr>
            <w:tcW w:w="2268" w:type="dxa"/>
            <w:vAlign w:val="center"/>
          </w:tcPr>
          <w:p>
            <w:pPr>
              <w:pStyle w:val="13"/>
            </w:pPr>
            <w:r>
              <w:t>≥90%</w:t>
            </w:r>
          </w:p>
        </w:tc>
        <w:tc>
          <w:tcPr>
            <w:tcW w:w="1276" w:type="dxa"/>
            <w:vAlign w:val="center"/>
          </w:tcPr>
          <w:p>
            <w:pPr>
              <w:pStyle w:val="13"/>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专家评审合格率</w:t>
            </w:r>
          </w:p>
        </w:tc>
        <w:tc>
          <w:tcPr>
            <w:tcW w:w="5386" w:type="dxa"/>
            <w:vAlign w:val="center"/>
          </w:tcPr>
          <w:p>
            <w:pPr>
              <w:pStyle w:val="13"/>
            </w:pPr>
            <w:r>
              <w:t>专项规划编制提交成果，并通过专家评审</w:t>
            </w:r>
          </w:p>
        </w:tc>
        <w:tc>
          <w:tcPr>
            <w:tcW w:w="2268" w:type="dxa"/>
            <w:vAlign w:val="center"/>
          </w:tcPr>
          <w:p>
            <w:pPr>
              <w:pStyle w:val="13"/>
            </w:pPr>
            <w:r>
              <w:t>100%</w:t>
            </w:r>
          </w:p>
        </w:tc>
        <w:tc>
          <w:tcPr>
            <w:tcW w:w="1276" w:type="dxa"/>
            <w:vAlign w:val="center"/>
          </w:tcPr>
          <w:p>
            <w:pPr>
              <w:pStyle w:val="13"/>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反映工作是否在规定的时间内完成</w:t>
            </w:r>
          </w:p>
        </w:tc>
        <w:tc>
          <w:tcPr>
            <w:tcW w:w="2268" w:type="dxa"/>
            <w:vAlign w:val="center"/>
          </w:tcPr>
          <w:p>
            <w:pPr>
              <w:pStyle w:val="13"/>
            </w:pPr>
            <w:r>
              <w:t>≥90%</w:t>
            </w:r>
          </w:p>
        </w:tc>
        <w:tc>
          <w:tcPr>
            <w:tcW w:w="1276" w:type="dxa"/>
            <w:vAlign w:val="center"/>
          </w:tcPr>
          <w:p>
            <w:pPr>
              <w:pStyle w:val="13"/>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规划对实际工作的指导意义</w:t>
            </w:r>
          </w:p>
        </w:tc>
        <w:tc>
          <w:tcPr>
            <w:tcW w:w="2268" w:type="dxa"/>
            <w:vAlign w:val="center"/>
          </w:tcPr>
          <w:p>
            <w:pPr>
              <w:pStyle w:val="13"/>
            </w:pPr>
            <w:r>
              <w:t>≥90%</w:t>
            </w:r>
          </w:p>
        </w:tc>
        <w:tc>
          <w:tcPr>
            <w:tcW w:w="1276" w:type="dxa"/>
            <w:vAlign w:val="center"/>
          </w:tcPr>
          <w:p>
            <w:pPr>
              <w:pStyle w:val="13"/>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6、综合事务管理绩效目标表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13062826P00028410404Y</w:t>
            </w:r>
          </w:p>
        </w:tc>
        <w:tc>
          <w:tcPr>
            <w:tcW w:w="2835" w:type="dxa"/>
            <w:vAlign w:val="center"/>
          </w:tcPr>
          <w:p>
            <w:pPr>
              <w:pStyle w:val="11"/>
            </w:pPr>
            <w:r>
              <w:t>项目名称</w:t>
            </w:r>
          </w:p>
        </w:tc>
        <w:tc>
          <w:tcPr>
            <w:tcW w:w="6095" w:type="dxa"/>
            <w:gridSpan w:val="3"/>
            <w:vAlign w:val="center"/>
          </w:tcPr>
          <w:p>
            <w:pPr>
              <w:pStyle w:val="13"/>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102.00</w:t>
            </w:r>
          </w:p>
        </w:tc>
        <w:tc>
          <w:tcPr>
            <w:tcW w:w="2835" w:type="dxa"/>
            <w:vAlign w:val="center"/>
          </w:tcPr>
          <w:p>
            <w:pPr>
              <w:pStyle w:val="11"/>
            </w:pPr>
            <w:r>
              <w:t>其中：财政    资金</w:t>
            </w:r>
          </w:p>
        </w:tc>
        <w:tc>
          <w:tcPr>
            <w:tcW w:w="2551" w:type="dxa"/>
            <w:vAlign w:val="center"/>
          </w:tcPr>
          <w:p>
            <w:pPr>
              <w:pStyle w:val="13"/>
            </w:pPr>
            <w:r>
              <w:t>102.00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用于临时聘用人员工资发放、保障单位正常运转办公费用支出及支付法院判决费用。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70.00</w:t>
            </w:r>
          </w:p>
        </w:tc>
        <w:tc>
          <w:tcPr>
            <w:tcW w:w="2551" w:type="dxa"/>
            <w:vAlign w:val="center"/>
          </w:tcPr>
          <w:p>
            <w:pPr>
              <w:pStyle w:val="14"/>
            </w:pPr>
            <w:r>
              <w:t>90.00</w:t>
            </w:r>
          </w:p>
        </w:tc>
        <w:tc>
          <w:tcPr>
            <w:tcW w:w="3544" w:type="dxa"/>
            <w:gridSpan w:val="2"/>
            <w:vAlign w:val="center"/>
          </w:tcPr>
          <w:p>
            <w:pPr>
              <w:pStyle w:val="14"/>
            </w:pPr>
            <w:r>
              <w:t>102.00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覆盖率</w:t>
            </w:r>
          </w:p>
        </w:tc>
        <w:tc>
          <w:tcPr>
            <w:tcW w:w="5386" w:type="dxa"/>
            <w:vAlign w:val="center"/>
          </w:tcPr>
          <w:p>
            <w:pPr>
              <w:pStyle w:val="13"/>
            </w:pPr>
            <w:r>
              <w:t>办公经费覆盖率</w:t>
            </w:r>
          </w:p>
        </w:tc>
        <w:tc>
          <w:tcPr>
            <w:tcW w:w="2268" w:type="dxa"/>
            <w:vAlign w:val="center"/>
          </w:tcPr>
          <w:p>
            <w:pPr>
              <w:pStyle w:val="13"/>
            </w:pPr>
            <w:r>
              <w:t>&gt;95%</w:t>
            </w:r>
          </w:p>
        </w:tc>
        <w:tc>
          <w:tcPr>
            <w:tcW w:w="1276" w:type="dxa"/>
            <w:vAlign w:val="center"/>
          </w:tcPr>
          <w:p>
            <w:pPr>
              <w:pStyle w:val="13"/>
            </w:pPr>
            <w:r>
              <w:t>是否按照标准执行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准确率</w:t>
            </w:r>
          </w:p>
        </w:tc>
        <w:tc>
          <w:tcPr>
            <w:tcW w:w="5386" w:type="dxa"/>
            <w:vAlign w:val="center"/>
          </w:tcPr>
          <w:p>
            <w:pPr>
              <w:pStyle w:val="13"/>
            </w:pPr>
            <w:r>
              <w:t>资金拨付准确率</w:t>
            </w:r>
          </w:p>
        </w:tc>
        <w:tc>
          <w:tcPr>
            <w:tcW w:w="2268" w:type="dxa"/>
            <w:vAlign w:val="center"/>
          </w:tcPr>
          <w:p>
            <w:pPr>
              <w:pStyle w:val="13"/>
            </w:pPr>
            <w:r>
              <w:t>&gt;95%</w:t>
            </w:r>
          </w:p>
        </w:tc>
        <w:tc>
          <w:tcPr>
            <w:tcW w:w="1276" w:type="dxa"/>
            <w:vAlign w:val="center"/>
          </w:tcPr>
          <w:p>
            <w:pPr>
              <w:pStyle w:val="13"/>
            </w:pPr>
            <w:r>
              <w:t>是否按照标准执行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5386" w:type="dxa"/>
            <w:vAlign w:val="center"/>
          </w:tcPr>
          <w:p>
            <w:pPr>
              <w:pStyle w:val="13"/>
            </w:pPr>
            <w:r>
              <w:t>预算执行率</w:t>
            </w:r>
          </w:p>
        </w:tc>
        <w:tc>
          <w:tcPr>
            <w:tcW w:w="2268" w:type="dxa"/>
            <w:vAlign w:val="center"/>
          </w:tcPr>
          <w:p>
            <w:pPr>
              <w:pStyle w:val="13"/>
            </w:pPr>
            <w:r>
              <w:t>&gt;95%</w:t>
            </w:r>
          </w:p>
        </w:tc>
        <w:tc>
          <w:tcPr>
            <w:tcW w:w="1276" w:type="dxa"/>
            <w:vAlign w:val="center"/>
          </w:tcPr>
          <w:p>
            <w:pPr>
              <w:pStyle w:val="13"/>
            </w:pPr>
            <w:r>
              <w:t>是否按照标准执行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保障年度</w:t>
            </w:r>
          </w:p>
        </w:tc>
        <w:tc>
          <w:tcPr>
            <w:tcW w:w="5386" w:type="dxa"/>
            <w:vAlign w:val="center"/>
          </w:tcPr>
          <w:p>
            <w:pPr>
              <w:pStyle w:val="13"/>
            </w:pPr>
            <w:r>
              <w:t>保障单位正常运转时间</w:t>
            </w:r>
          </w:p>
        </w:tc>
        <w:tc>
          <w:tcPr>
            <w:tcW w:w="2268" w:type="dxa"/>
            <w:vAlign w:val="center"/>
          </w:tcPr>
          <w:p>
            <w:pPr>
              <w:pStyle w:val="13"/>
            </w:pPr>
            <w:r>
              <w:t>1年</w:t>
            </w:r>
          </w:p>
        </w:tc>
        <w:tc>
          <w:tcPr>
            <w:tcW w:w="1276" w:type="dxa"/>
            <w:vAlign w:val="center"/>
          </w:tcPr>
          <w:p>
            <w:pPr>
              <w:pStyle w:val="13"/>
            </w:pPr>
            <w:r>
              <w:t>是否按照标准执行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保障单位运行</w:t>
            </w:r>
          </w:p>
        </w:tc>
        <w:tc>
          <w:tcPr>
            <w:tcW w:w="5386" w:type="dxa"/>
            <w:vAlign w:val="center"/>
          </w:tcPr>
          <w:p>
            <w:pPr>
              <w:pStyle w:val="13"/>
            </w:pPr>
            <w:r>
              <w:t>保障单位正常运行</w:t>
            </w:r>
          </w:p>
        </w:tc>
        <w:tc>
          <w:tcPr>
            <w:tcW w:w="2268" w:type="dxa"/>
            <w:vAlign w:val="center"/>
          </w:tcPr>
          <w:p>
            <w:pPr>
              <w:pStyle w:val="13"/>
            </w:pPr>
            <w:r>
              <w:t>≥95%</w:t>
            </w:r>
          </w:p>
        </w:tc>
        <w:tc>
          <w:tcPr>
            <w:tcW w:w="1276" w:type="dxa"/>
            <w:vAlign w:val="center"/>
          </w:tcPr>
          <w:p>
            <w:pPr>
              <w:pStyle w:val="13"/>
            </w:pPr>
            <w:r>
              <w:t>是否按照标准执行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满意的单位占总单位的比率</w:t>
            </w:r>
          </w:p>
        </w:tc>
        <w:tc>
          <w:tcPr>
            <w:tcW w:w="2268" w:type="dxa"/>
            <w:vAlign w:val="center"/>
          </w:tcPr>
          <w:p>
            <w:pPr>
              <w:pStyle w:val="13"/>
            </w:pPr>
            <w:r>
              <w:t>&gt;80%</w:t>
            </w:r>
          </w:p>
        </w:tc>
        <w:tc>
          <w:tcPr>
            <w:tcW w:w="1276" w:type="dxa"/>
            <w:vAlign w:val="center"/>
          </w:tcPr>
          <w:p>
            <w:pPr>
              <w:pStyle w:val="13"/>
            </w:pPr>
            <w:r>
              <w:t>是否按照标准执行</w:t>
            </w:r>
          </w:p>
          <w:p>
            <w:pPr>
              <w:pStyle w:val="13"/>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7" w:name="_Toc_3_3_0000000017"/>
      <w:r>
        <w:rPr>
          <w:rFonts w:ascii="黑体" w:hAnsi="黑体" w:eastAsia="黑体" w:cs="黑体"/>
          <w:color w:val="000000"/>
          <w:sz w:val="32"/>
        </w:rPr>
        <w:t>八、政府采购预算情况</w:t>
      </w:r>
      <w:bookmarkEnd w:id="17"/>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324高阳县自然资源和规划局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8"/>
      <w:r>
        <w:rPr>
          <w:rFonts w:ascii="黑体" w:hAnsi="黑体" w:eastAsia="黑体" w:cs="黑体"/>
          <w:color w:val="000000"/>
          <w:sz w:val="32"/>
        </w:rPr>
        <w:t>九、国有资产信息</w:t>
      </w:r>
      <w:bookmarkEnd w:id="18"/>
    </w:p>
    <w:p>
      <w:pPr>
        <w:spacing w:before="0" w:after="0" w:line="500" w:lineRule="exact"/>
        <w:ind w:firstLine="560"/>
        <w:jc w:val="left"/>
        <w:outlineLvl w:val="9"/>
        <w:rPr>
          <w:rFonts w:eastAsia="方正仿宋_GBK"/>
          <w:color w:val="000000"/>
          <w:sz w:val="28"/>
        </w:rPr>
      </w:pPr>
      <w:r>
        <w:rPr>
          <w:rFonts w:ascii="Times New Roman" w:hAnsi="Times New Roman" w:eastAsia="方正仿宋_GBK" w:cs="Times New Roman"/>
          <w:b w:val="0"/>
          <w:color w:val="000000"/>
          <w:sz w:val="28"/>
        </w:rPr>
        <w:t>高阳县自然资源和规划局（含所属单位）上年末固定资产金额为241.80万元（详见下表）。本年度拟购置固定资产总额为3.00万元，</w:t>
      </w:r>
      <w:r>
        <w:rPr>
          <w:rFonts w:hint="eastAsia" w:eastAsia="方正仿宋_GBK"/>
          <w:color w:val="000000"/>
          <w:sz w:val="28"/>
          <w:lang w:eastAsia="zh-CN"/>
        </w:rPr>
        <w:t>购置项目未达到采购标准，不在</w:t>
      </w:r>
      <w:r>
        <w:rPr>
          <w:rFonts w:eastAsia="方正仿宋_GBK"/>
          <w:color w:val="000000"/>
          <w:sz w:val="28"/>
        </w:rPr>
        <w:t>政府采购预算</w:t>
      </w:r>
      <w:r>
        <w:rPr>
          <w:rFonts w:hint="eastAsia" w:eastAsia="方正仿宋_GBK"/>
          <w:color w:val="000000"/>
          <w:sz w:val="28"/>
          <w:lang w:eastAsia="zh-CN"/>
        </w:rPr>
        <w:t>体现</w:t>
      </w:r>
      <w:r>
        <w:rPr>
          <w:rFonts w:eastAsia="方正仿宋_GBK"/>
          <w:color w:val="000000"/>
          <w:sz w:val="28"/>
        </w:rPr>
        <w:t>。</w:t>
      </w:r>
    </w:p>
    <w:p>
      <w:pPr>
        <w:spacing w:before="0" w:after="0" w:line="500" w:lineRule="exact"/>
        <w:ind w:firstLine="560"/>
        <w:jc w:val="left"/>
        <w:outlineLvl w:val="9"/>
        <w:rPr>
          <w:rFonts w:eastAsia="方正仿宋_GBK"/>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324高阳县自然资源和规划局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241.80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3280</w:t>
            </w:r>
          </w:p>
        </w:tc>
        <w:tc>
          <w:tcPr>
            <w:tcW w:w="2835" w:type="dxa"/>
            <w:vAlign w:val="center"/>
          </w:tcPr>
          <w:p>
            <w:pPr>
              <w:pStyle w:val="12"/>
            </w:pPr>
            <w:r>
              <w:t>110.17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1240</w:t>
            </w:r>
          </w:p>
        </w:tc>
        <w:tc>
          <w:tcPr>
            <w:tcW w:w="2835" w:type="dxa"/>
            <w:vAlign w:val="center"/>
          </w:tcPr>
          <w:p>
            <w:pPr>
              <w:pStyle w:val="12"/>
            </w:pPr>
            <w:r>
              <w:t>90.50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8</w:t>
            </w:r>
          </w:p>
        </w:tc>
        <w:tc>
          <w:tcPr>
            <w:tcW w:w="2835"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5</w:t>
            </w:r>
          </w:p>
        </w:tc>
        <w:tc>
          <w:tcPr>
            <w:tcW w:w="2835" w:type="dxa"/>
            <w:vAlign w:val="center"/>
          </w:tcPr>
          <w:p>
            <w:pPr>
              <w:pStyle w:val="12"/>
            </w:pPr>
            <w:r>
              <w:t>24.23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620</w:t>
            </w:r>
          </w:p>
        </w:tc>
        <w:tc>
          <w:tcPr>
            <w:tcW w:w="2835" w:type="dxa"/>
            <w:vAlign w:val="center"/>
          </w:tcPr>
          <w:p>
            <w:pPr>
              <w:pStyle w:val="12"/>
            </w:pPr>
            <w:r>
              <w:t>106.73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9" w:name="_Toc_3_3_0000000019"/>
      <w:r>
        <w:rPr>
          <w:rFonts w:ascii="黑体" w:hAnsi="黑体" w:eastAsia="黑体" w:cs="黑体"/>
          <w:color w:val="000000"/>
          <w:sz w:val="32"/>
        </w:rPr>
        <w:t>十、名词解释</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hAnsi="黑体" w:eastAsia="黑体" w:cs="黑体"/>
          <w:color w:val="000000"/>
          <w:sz w:val="32"/>
        </w:rPr>
        <w:t>十一、其他需要说明的事项</w:t>
      </w:r>
      <w:bookmarkEnd w:id="20"/>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20D05"/>
    <w:multiLevelType w:val="singleLevel"/>
    <w:tmpl w:val="57220D05"/>
    <w:lvl w:ilvl="0" w:tentative="0">
      <w:start w:val="2"/>
      <w:numFmt w:val="chineseCounting"/>
      <w:suff w:val="nothing"/>
      <w:lvlText w:val="（%1）"/>
      <w:lvlJc w:val="left"/>
      <w:rPr>
        <w:rFonts w:hint="eastAsia"/>
      </w:rPr>
    </w:lvl>
  </w:abstractNum>
  <w:abstractNum w:abstractNumId="1">
    <w:nsid w:val="66D7473F"/>
    <w:multiLevelType w:val="singleLevel"/>
    <w:tmpl w:val="66D7473F"/>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9600FE"/>
    <w:rsid w:val="0A4D56E8"/>
    <w:rsid w:val="21D01C09"/>
    <w:rsid w:val="2BB760E9"/>
    <w:rsid w:val="2FC20D6A"/>
    <w:rsid w:val="3172742B"/>
    <w:rsid w:val="32403D2F"/>
    <w:rsid w:val="44B9194D"/>
    <w:rsid w:val="4B575013"/>
    <w:rsid w:val="4C30370D"/>
    <w:rsid w:val="50C431DE"/>
    <w:rsid w:val="5C207FA6"/>
    <w:rsid w:val="69B05E0D"/>
    <w:rsid w:val="6A37294F"/>
    <w:rsid w:val="6DAE4200"/>
    <w:rsid w:val="7445502A"/>
    <w:rsid w:val="7D967F9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13352</Words>
  <Characters>16080</Characters>
  <TotalTime>0</TotalTime>
  <ScaleCrop>false</ScaleCrop>
  <LinksUpToDate>false</LinksUpToDate>
  <CharactersWithSpaces>16300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2026-01-29T10:07:00Z</dcterms:created>
  <dc:creator>Administrator</dc:creator>
  <cp:lastModifiedBy>月倚清秋</cp:lastModifiedBy>
  <dcterms:modified xsi:type="dcterms:W3CDTF">2026-03-11T06:22:24Z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0BAB259405F04AFD855B9D963507E80F</vt:lpwstr>
  </property>
</Properties>
</file>