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00CE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eastAsia" w:ascii="方正小标宋简体" w:hAnsi="方正小标宋简体" w:eastAsia="方正小标宋简体" w:cs="方正小标宋简体"/>
          <w:b w:val="0"/>
          <w:bCs w:val="0"/>
          <w:spacing w:val="0"/>
          <w:sz w:val="44"/>
          <w:szCs w:val="44"/>
        </w:rPr>
      </w:pPr>
      <w:bookmarkStart w:id="0" w:name="_GoBack"/>
      <w:bookmarkEnd w:id="0"/>
      <w:r>
        <w:rPr>
          <w:rFonts w:hint="eastAsia" w:ascii="方正小标宋简体" w:hAnsi="方正小标宋简体" w:eastAsia="方正小标宋简体" w:cs="方正小标宋简体"/>
          <w:b w:val="0"/>
          <w:bCs w:val="0"/>
          <w:spacing w:val="0"/>
          <w:sz w:val="44"/>
          <w:szCs w:val="44"/>
          <w:lang w:val="en-US" w:eastAsia="zh-CN"/>
        </w:rPr>
        <w:t>高阳县</w:t>
      </w:r>
      <w:r>
        <w:rPr>
          <w:rFonts w:hint="eastAsia" w:ascii="方正小标宋简体" w:hAnsi="方正小标宋简体" w:eastAsia="方正小标宋简体" w:cs="方正小标宋简体"/>
          <w:b w:val="0"/>
          <w:bCs w:val="0"/>
          <w:spacing w:val="0"/>
          <w:sz w:val="44"/>
          <w:szCs w:val="44"/>
        </w:rPr>
        <w:t>商务局</w:t>
      </w:r>
    </w:p>
    <w:p w14:paraId="700528D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pacing w:val="0"/>
          <w:sz w:val="44"/>
          <w:szCs w:val="44"/>
        </w:rPr>
        <w:t>关于做好2026年家电以旧换新、数码和智能产品购新第二批承办单位遴选工作的通知</w:t>
      </w:r>
    </w:p>
    <w:p w14:paraId="4E0E46F9">
      <w:pPr>
        <w:rPr>
          <w:rFonts w:hint="eastAsia" w:ascii="方正仿宋_GB2312" w:hAnsi="方正仿宋_GB2312" w:eastAsia="方正仿宋_GB2312" w:cs="方正仿宋_GB2312"/>
          <w:sz w:val="32"/>
          <w:szCs w:val="32"/>
        </w:rPr>
      </w:pPr>
    </w:p>
    <w:p w14:paraId="3CF562D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各相关企业：</w:t>
      </w:r>
    </w:p>
    <w:p w14:paraId="406356B0">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为贯彻落实国家、省、市关于推动消费品以旧换新工作的决策部署，进一步激发市场活力，促进绿色智能家电和数码产品消费，根据《商务部等5部门办公厅关于做好2026年家电以旧换新、数码和智能产品购新补贴工作的通知》及</w:t>
      </w:r>
      <w:r>
        <w:rPr>
          <w:rFonts w:hint="eastAsia" w:ascii="仿宋_GB2312" w:hAnsi="仿宋_GB2312" w:eastAsia="仿宋_GB2312" w:cs="仿宋_GB2312"/>
          <w:spacing w:val="2"/>
          <w:sz w:val="32"/>
          <w:szCs w:val="32"/>
          <w:lang w:val="en-US" w:eastAsia="zh-CN"/>
        </w:rPr>
        <w:t>省、市</w:t>
      </w:r>
      <w:r>
        <w:rPr>
          <w:rFonts w:hint="eastAsia" w:ascii="仿宋_GB2312" w:hAnsi="仿宋_GB2312" w:eastAsia="仿宋_GB2312" w:cs="仿宋_GB2312"/>
          <w:spacing w:val="2"/>
          <w:sz w:val="32"/>
          <w:szCs w:val="32"/>
        </w:rPr>
        <w:t>相关工作要求，现面向全</w:t>
      </w:r>
      <w:r>
        <w:rPr>
          <w:rFonts w:hint="eastAsia" w:ascii="仿宋_GB2312" w:hAnsi="仿宋_GB2312" w:eastAsia="仿宋_GB2312" w:cs="仿宋_GB2312"/>
          <w:spacing w:val="2"/>
          <w:sz w:val="32"/>
          <w:szCs w:val="32"/>
          <w:lang w:val="en-US" w:eastAsia="zh-CN"/>
        </w:rPr>
        <w:t>县</w:t>
      </w:r>
      <w:r>
        <w:rPr>
          <w:rFonts w:hint="eastAsia" w:ascii="仿宋_GB2312" w:hAnsi="仿宋_GB2312" w:eastAsia="仿宋_GB2312" w:cs="仿宋_GB2312"/>
          <w:spacing w:val="2"/>
          <w:sz w:val="32"/>
          <w:szCs w:val="32"/>
        </w:rPr>
        <w:t>公开遴选2026年家电以旧换新、数码和智能产品购新第二批承办单位。有关事项通知如下：</w:t>
      </w:r>
    </w:p>
    <w:p w14:paraId="354F4378">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eastAsia" w:ascii="黑体" w:hAnsi="黑体" w:eastAsia="黑体" w:cs="黑体"/>
          <w:b w:val="0"/>
          <w:bCs w:val="0"/>
          <w:spacing w:val="2"/>
          <w:sz w:val="32"/>
          <w:szCs w:val="32"/>
        </w:rPr>
      </w:pPr>
      <w:r>
        <w:rPr>
          <w:rFonts w:hint="eastAsia" w:ascii="黑体" w:hAnsi="黑体" w:eastAsia="黑体" w:cs="黑体"/>
          <w:b w:val="0"/>
          <w:bCs w:val="0"/>
          <w:spacing w:val="2"/>
          <w:sz w:val="32"/>
          <w:szCs w:val="32"/>
        </w:rPr>
        <w:t>一、活动情况</w:t>
      </w:r>
    </w:p>
    <w:p w14:paraId="7306BD58">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eastAsia" w:ascii="楷体_GB2312" w:hAnsi="楷体_GB2312" w:eastAsia="楷体_GB2312" w:cs="楷体_GB2312"/>
          <w:spacing w:val="2"/>
          <w:sz w:val="32"/>
          <w:szCs w:val="32"/>
        </w:rPr>
      </w:pPr>
      <w:r>
        <w:rPr>
          <w:rFonts w:hint="eastAsia" w:ascii="楷体_GB2312" w:hAnsi="楷体_GB2312" w:eastAsia="楷体_GB2312" w:cs="楷体_GB2312"/>
          <w:spacing w:val="2"/>
          <w:sz w:val="32"/>
          <w:szCs w:val="32"/>
          <w:lang w:eastAsia="zh-CN"/>
        </w:rPr>
        <w:t>（</w:t>
      </w:r>
      <w:r>
        <w:rPr>
          <w:rFonts w:hint="eastAsia" w:ascii="楷体_GB2312" w:hAnsi="楷体_GB2312" w:eastAsia="楷体_GB2312" w:cs="楷体_GB2312"/>
          <w:spacing w:val="2"/>
          <w:sz w:val="32"/>
          <w:szCs w:val="32"/>
          <w:lang w:val="en-US" w:eastAsia="zh-CN"/>
        </w:rPr>
        <w:t>一</w:t>
      </w:r>
      <w:r>
        <w:rPr>
          <w:rFonts w:hint="eastAsia" w:ascii="楷体_GB2312" w:hAnsi="楷体_GB2312" w:eastAsia="楷体_GB2312" w:cs="楷体_GB2312"/>
          <w:spacing w:val="2"/>
          <w:sz w:val="32"/>
          <w:szCs w:val="32"/>
          <w:lang w:eastAsia="zh-CN"/>
        </w:rPr>
        <w:t>）</w:t>
      </w:r>
      <w:r>
        <w:rPr>
          <w:rFonts w:hint="eastAsia" w:ascii="楷体_GB2312" w:hAnsi="楷体_GB2312" w:eastAsia="楷体_GB2312" w:cs="楷体_GB2312"/>
          <w:spacing w:val="2"/>
          <w:sz w:val="32"/>
          <w:szCs w:val="32"/>
        </w:rPr>
        <w:t>报名时间</w:t>
      </w:r>
    </w:p>
    <w:p w14:paraId="13016810">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2026年1月23日至1月28日</w:t>
      </w:r>
    </w:p>
    <w:p w14:paraId="5DF1FD99">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eastAsia" w:ascii="楷体_GB2312" w:hAnsi="楷体_GB2312" w:eastAsia="楷体_GB2312" w:cs="楷体_GB2312"/>
          <w:spacing w:val="2"/>
          <w:sz w:val="32"/>
          <w:szCs w:val="32"/>
          <w:lang w:eastAsia="zh-CN"/>
        </w:rPr>
      </w:pPr>
      <w:r>
        <w:rPr>
          <w:rFonts w:hint="eastAsia" w:ascii="楷体_GB2312" w:hAnsi="楷体_GB2312" w:eastAsia="楷体_GB2312" w:cs="楷体_GB2312"/>
          <w:spacing w:val="2"/>
          <w:sz w:val="32"/>
          <w:szCs w:val="32"/>
          <w:lang w:eastAsia="zh-CN"/>
        </w:rPr>
        <w:t>（</w:t>
      </w:r>
      <w:r>
        <w:rPr>
          <w:rFonts w:hint="eastAsia" w:ascii="楷体_GB2312" w:hAnsi="楷体_GB2312" w:eastAsia="楷体_GB2312" w:cs="楷体_GB2312"/>
          <w:spacing w:val="2"/>
          <w:sz w:val="32"/>
          <w:szCs w:val="32"/>
          <w:lang w:val="en-US" w:eastAsia="zh-CN"/>
        </w:rPr>
        <w:t>二</w:t>
      </w:r>
      <w:r>
        <w:rPr>
          <w:rFonts w:hint="eastAsia" w:ascii="楷体_GB2312" w:hAnsi="楷体_GB2312" w:eastAsia="楷体_GB2312" w:cs="楷体_GB2312"/>
          <w:spacing w:val="2"/>
          <w:sz w:val="32"/>
          <w:szCs w:val="32"/>
          <w:lang w:eastAsia="zh-CN"/>
        </w:rPr>
        <w:t>）遴选对象</w:t>
      </w:r>
    </w:p>
    <w:p w14:paraId="7EE2CAC1">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在</w:t>
      </w:r>
      <w:r>
        <w:rPr>
          <w:rFonts w:hint="eastAsia" w:ascii="仿宋_GB2312" w:hAnsi="仿宋_GB2312" w:eastAsia="仿宋_GB2312" w:cs="仿宋_GB2312"/>
          <w:spacing w:val="2"/>
          <w:sz w:val="32"/>
          <w:szCs w:val="32"/>
          <w:lang w:val="en-US" w:eastAsia="zh-CN"/>
        </w:rPr>
        <w:t>高阳县</w:t>
      </w:r>
      <w:r>
        <w:rPr>
          <w:rFonts w:hint="eastAsia" w:ascii="仿宋_GB2312" w:hAnsi="仿宋_GB2312" w:eastAsia="仿宋_GB2312" w:cs="仿宋_GB2312"/>
          <w:spacing w:val="2"/>
          <w:sz w:val="32"/>
          <w:szCs w:val="32"/>
        </w:rPr>
        <w:t>范围内依法注册登记、纳税，经营状况良好，财务管理规范，信用记录良好，近三年无重大违法违规行为的家电、数码产品经销单位。</w:t>
      </w:r>
    </w:p>
    <w:p w14:paraId="22DEDE2C">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eastAsia" w:ascii="楷体_GB2312" w:hAnsi="楷体_GB2312" w:eastAsia="楷体_GB2312" w:cs="楷体_GB2312"/>
          <w:spacing w:val="2"/>
          <w:sz w:val="32"/>
          <w:szCs w:val="32"/>
          <w:lang w:eastAsia="zh-CN"/>
        </w:rPr>
      </w:pPr>
      <w:r>
        <w:rPr>
          <w:rFonts w:hint="eastAsia" w:ascii="楷体_GB2312" w:hAnsi="楷体_GB2312" w:eastAsia="楷体_GB2312" w:cs="楷体_GB2312"/>
          <w:spacing w:val="2"/>
          <w:sz w:val="32"/>
          <w:szCs w:val="32"/>
          <w:lang w:eastAsia="zh-CN"/>
        </w:rPr>
        <w:t>（</w:t>
      </w:r>
      <w:r>
        <w:rPr>
          <w:rFonts w:hint="eastAsia" w:ascii="楷体_GB2312" w:hAnsi="楷体_GB2312" w:eastAsia="楷体_GB2312" w:cs="楷体_GB2312"/>
          <w:spacing w:val="2"/>
          <w:sz w:val="32"/>
          <w:szCs w:val="32"/>
          <w:lang w:val="en-US" w:eastAsia="zh-CN"/>
        </w:rPr>
        <w:t>三</w:t>
      </w:r>
      <w:r>
        <w:rPr>
          <w:rFonts w:hint="eastAsia" w:ascii="楷体_GB2312" w:hAnsi="楷体_GB2312" w:eastAsia="楷体_GB2312" w:cs="楷体_GB2312"/>
          <w:spacing w:val="2"/>
          <w:sz w:val="32"/>
          <w:szCs w:val="32"/>
          <w:lang w:eastAsia="zh-CN"/>
        </w:rPr>
        <w:t>）遴选方式</w:t>
      </w:r>
    </w:p>
    <w:p w14:paraId="5FFF1D4F">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采取“企业自主申报、县级初审推荐、市级复核公示”的方式公开遴选。</w:t>
      </w:r>
    </w:p>
    <w:p w14:paraId="45F943C9">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eastAsia" w:ascii="楷体_GB2312" w:hAnsi="楷体_GB2312" w:eastAsia="楷体_GB2312" w:cs="楷体_GB2312"/>
          <w:spacing w:val="2"/>
          <w:sz w:val="32"/>
          <w:szCs w:val="32"/>
          <w:lang w:eastAsia="zh-CN"/>
        </w:rPr>
      </w:pPr>
      <w:r>
        <w:rPr>
          <w:rFonts w:hint="eastAsia" w:ascii="楷体_GB2312" w:hAnsi="楷体_GB2312" w:eastAsia="楷体_GB2312" w:cs="楷体_GB2312"/>
          <w:spacing w:val="2"/>
          <w:sz w:val="32"/>
          <w:szCs w:val="32"/>
          <w:lang w:eastAsia="zh-CN"/>
        </w:rPr>
        <w:t>（</w:t>
      </w:r>
      <w:r>
        <w:rPr>
          <w:rFonts w:hint="eastAsia" w:ascii="楷体_GB2312" w:hAnsi="楷体_GB2312" w:eastAsia="楷体_GB2312" w:cs="楷体_GB2312"/>
          <w:spacing w:val="2"/>
          <w:sz w:val="32"/>
          <w:szCs w:val="32"/>
          <w:lang w:val="en-US" w:eastAsia="zh-CN"/>
        </w:rPr>
        <w:t>四</w:t>
      </w:r>
      <w:r>
        <w:rPr>
          <w:rFonts w:hint="eastAsia" w:ascii="楷体_GB2312" w:hAnsi="楷体_GB2312" w:eastAsia="楷体_GB2312" w:cs="楷体_GB2312"/>
          <w:spacing w:val="2"/>
          <w:sz w:val="32"/>
          <w:szCs w:val="32"/>
          <w:lang w:eastAsia="zh-CN"/>
        </w:rPr>
        <w:t>）补贴对象、范围及标准</w:t>
      </w:r>
    </w:p>
    <w:p w14:paraId="2CA6AAB3">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家电类：个人消费者购买符合国家1级能效标准的空调、冰箱、洗衣机、热水器、电视机、电脑等6类家电产品。</w:t>
      </w:r>
    </w:p>
    <w:p w14:paraId="04753A23">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数码类：个人消费者购买手机</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平板</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智能手表</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手环</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、智能眼镜等4类数码产品，单件销售价格不超过</w:t>
      </w:r>
      <w:r>
        <w:rPr>
          <w:rFonts w:hint="eastAsia" w:ascii="仿宋_GB2312" w:hAnsi="仿宋_GB2312" w:eastAsia="仿宋_GB2312" w:cs="仿宋_GB2312"/>
          <w:spacing w:val="2"/>
          <w:sz w:val="32"/>
          <w:szCs w:val="32"/>
          <w:lang w:val="en-US" w:eastAsia="zh-CN"/>
        </w:rPr>
        <w:t>6000</w:t>
      </w:r>
      <w:r>
        <w:rPr>
          <w:rFonts w:hint="eastAsia" w:ascii="仿宋_GB2312" w:hAnsi="仿宋_GB2312" w:eastAsia="仿宋_GB2312" w:cs="仿宋_GB2312"/>
          <w:spacing w:val="2"/>
          <w:sz w:val="32"/>
          <w:szCs w:val="32"/>
        </w:rPr>
        <w:t>元。</w:t>
      </w:r>
    </w:p>
    <w:p w14:paraId="6C144478">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补贴标准：按扣除各环节优惠后最终销售价格的15%给予补贴，每人每类限补1件。其中，家电每件补贴不超过1500元，数码产品每件补贴不超过500元。</w:t>
      </w:r>
    </w:p>
    <w:p w14:paraId="54085700">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eastAsia" w:ascii="楷体_GB2312" w:hAnsi="楷体_GB2312" w:eastAsia="楷体_GB2312" w:cs="楷体_GB2312"/>
          <w:spacing w:val="2"/>
          <w:sz w:val="32"/>
          <w:szCs w:val="32"/>
          <w:lang w:eastAsia="zh-CN"/>
        </w:rPr>
      </w:pPr>
      <w:r>
        <w:rPr>
          <w:rFonts w:hint="eastAsia" w:ascii="楷体_GB2312" w:hAnsi="楷体_GB2312" w:eastAsia="楷体_GB2312" w:cs="楷体_GB2312"/>
          <w:spacing w:val="2"/>
          <w:sz w:val="32"/>
          <w:szCs w:val="32"/>
          <w:lang w:eastAsia="zh-CN"/>
        </w:rPr>
        <w:t>（</w:t>
      </w:r>
      <w:r>
        <w:rPr>
          <w:rFonts w:hint="eastAsia" w:ascii="楷体_GB2312" w:hAnsi="楷体_GB2312" w:eastAsia="楷体_GB2312" w:cs="楷体_GB2312"/>
          <w:spacing w:val="2"/>
          <w:sz w:val="32"/>
          <w:szCs w:val="32"/>
          <w:lang w:val="en-US" w:eastAsia="zh-CN"/>
        </w:rPr>
        <w:t>五</w:t>
      </w:r>
      <w:r>
        <w:rPr>
          <w:rFonts w:hint="eastAsia" w:ascii="楷体_GB2312" w:hAnsi="楷体_GB2312" w:eastAsia="楷体_GB2312" w:cs="楷体_GB2312"/>
          <w:spacing w:val="2"/>
          <w:sz w:val="32"/>
          <w:szCs w:val="32"/>
          <w:lang w:eastAsia="zh-CN"/>
        </w:rPr>
        <w:t>）补贴方式</w:t>
      </w:r>
    </w:p>
    <w:p w14:paraId="5ECFA1EA">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补贴资金由承办单位先行垫付，消费者在支付环节直接享受立减优惠。承办单位按期向平台申请结算，经审核无误后拨付补贴款 。</w:t>
      </w:r>
    </w:p>
    <w:p w14:paraId="71133187">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eastAsia" w:ascii="楷体_GB2312" w:hAnsi="楷体_GB2312" w:eastAsia="楷体_GB2312" w:cs="楷体_GB2312"/>
          <w:spacing w:val="2"/>
          <w:sz w:val="32"/>
          <w:szCs w:val="32"/>
          <w:lang w:eastAsia="zh-CN"/>
        </w:rPr>
      </w:pPr>
      <w:r>
        <w:rPr>
          <w:rFonts w:hint="eastAsia" w:ascii="楷体_GB2312" w:hAnsi="楷体_GB2312" w:eastAsia="楷体_GB2312" w:cs="楷体_GB2312"/>
          <w:spacing w:val="2"/>
          <w:sz w:val="32"/>
          <w:szCs w:val="32"/>
          <w:lang w:eastAsia="zh-CN"/>
        </w:rPr>
        <w:t>（</w:t>
      </w:r>
      <w:r>
        <w:rPr>
          <w:rFonts w:hint="eastAsia" w:ascii="楷体_GB2312" w:hAnsi="楷体_GB2312" w:eastAsia="楷体_GB2312" w:cs="楷体_GB2312"/>
          <w:spacing w:val="2"/>
          <w:sz w:val="32"/>
          <w:szCs w:val="32"/>
          <w:lang w:val="en-US" w:eastAsia="zh-CN"/>
        </w:rPr>
        <w:t>六</w:t>
      </w:r>
      <w:r>
        <w:rPr>
          <w:rFonts w:hint="eastAsia" w:ascii="楷体_GB2312" w:hAnsi="楷体_GB2312" w:eastAsia="楷体_GB2312" w:cs="楷体_GB2312"/>
          <w:spacing w:val="2"/>
          <w:sz w:val="32"/>
          <w:szCs w:val="32"/>
          <w:lang w:eastAsia="zh-CN"/>
        </w:rPr>
        <w:t>）退货处理</w:t>
      </w:r>
    </w:p>
    <w:p w14:paraId="036EE74D">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eastAsia" w:ascii="仿宋_GB2312" w:hAnsi="仿宋_GB2312" w:eastAsia="仿宋_GB2312" w:cs="仿宋_GB2312"/>
          <w:spacing w:val="2"/>
          <w:sz w:val="32"/>
          <w:szCs w:val="32"/>
          <w:lang w:eastAsia="zh-CN"/>
        </w:rPr>
      </w:pPr>
      <w:r>
        <w:rPr>
          <w:rFonts w:hint="eastAsia" w:ascii="仿宋_GB2312" w:hAnsi="仿宋_GB2312" w:eastAsia="仿宋_GB2312" w:cs="仿宋_GB2312"/>
          <w:spacing w:val="2"/>
          <w:sz w:val="32"/>
          <w:szCs w:val="32"/>
        </w:rPr>
        <w:t>消费者退货时，承办单位应按消费者实际支付金额原路退款，并在3个工作日内将对应补贴款退回补贴活动平台资金账户</w:t>
      </w:r>
      <w:r>
        <w:rPr>
          <w:rFonts w:hint="eastAsia" w:ascii="仿宋_GB2312" w:hAnsi="仿宋_GB2312" w:eastAsia="仿宋_GB2312" w:cs="仿宋_GB2312"/>
          <w:spacing w:val="2"/>
          <w:sz w:val="32"/>
          <w:szCs w:val="32"/>
          <w:lang w:eastAsia="zh-CN"/>
        </w:rPr>
        <w:t>。</w:t>
      </w:r>
    </w:p>
    <w:p w14:paraId="48ED095C">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eastAsia" w:ascii="黑体" w:hAnsi="黑体" w:eastAsia="黑体" w:cs="黑体"/>
          <w:spacing w:val="2"/>
          <w:sz w:val="32"/>
          <w:szCs w:val="32"/>
          <w:lang w:val="en-US" w:eastAsia="en-US"/>
        </w:rPr>
      </w:pPr>
      <w:r>
        <w:rPr>
          <w:rFonts w:hint="eastAsia" w:ascii="黑体" w:hAnsi="黑体" w:eastAsia="黑体" w:cs="黑体"/>
          <w:spacing w:val="2"/>
          <w:sz w:val="32"/>
          <w:szCs w:val="32"/>
          <w:lang w:val="en-US" w:eastAsia="en-US"/>
        </w:rPr>
        <w:t>二、申报条件</w:t>
      </w:r>
    </w:p>
    <w:p w14:paraId="0E645526">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eastAsia" w:ascii="仿宋_GB2312" w:hAnsi="仿宋_GB2312" w:eastAsia="仿宋_GB2312" w:cs="仿宋_GB2312"/>
          <w:spacing w:val="2"/>
          <w:sz w:val="32"/>
          <w:szCs w:val="32"/>
          <w:lang w:val="en-US" w:eastAsia="en-US"/>
        </w:rPr>
      </w:pPr>
      <w:r>
        <w:rPr>
          <w:rFonts w:hint="eastAsia" w:ascii="楷体_GB2312" w:hAnsi="楷体_GB2312" w:eastAsia="楷体_GB2312" w:cs="楷体_GB2312"/>
          <w:spacing w:val="2"/>
          <w:sz w:val="32"/>
          <w:szCs w:val="32"/>
          <w:lang w:val="en-US" w:eastAsia="zh-CN"/>
        </w:rPr>
        <w:t>（一）</w:t>
      </w:r>
      <w:r>
        <w:rPr>
          <w:rFonts w:hint="eastAsia" w:ascii="楷体_GB2312" w:hAnsi="楷体_GB2312" w:eastAsia="楷体_GB2312" w:cs="楷体_GB2312"/>
          <w:spacing w:val="2"/>
          <w:sz w:val="32"/>
          <w:szCs w:val="32"/>
          <w:lang w:val="en-US" w:eastAsia="en-US"/>
        </w:rPr>
        <w:t>家电类承办单位条件</w:t>
      </w:r>
    </w:p>
    <w:p w14:paraId="6B212242">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eastAsia" w:ascii="仿宋_GB2312" w:hAnsi="仿宋_GB2312" w:eastAsia="仿宋_GB2312" w:cs="仿宋_GB2312"/>
          <w:spacing w:val="2"/>
          <w:sz w:val="32"/>
          <w:szCs w:val="32"/>
          <w:lang w:val="en-US" w:eastAsia="en-US"/>
        </w:rPr>
      </w:pPr>
      <w:r>
        <w:rPr>
          <w:rFonts w:hint="eastAsia" w:ascii="仿宋_GB2312" w:hAnsi="仿宋_GB2312" w:eastAsia="仿宋_GB2312" w:cs="仿宋_GB2312"/>
          <w:spacing w:val="2"/>
          <w:sz w:val="32"/>
          <w:szCs w:val="32"/>
          <w:lang w:val="en-US" w:eastAsia="en-US"/>
        </w:rPr>
        <w:t>1.从事家电商品销售业务，具有一定规模、能够依法纳税，经营良好，财务制度健全，具备较好成长性的线下实体或电商企业。</w:t>
      </w:r>
    </w:p>
    <w:p w14:paraId="04D670D1">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eastAsia" w:ascii="仿宋_GB2312" w:hAnsi="仿宋_GB2312" w:eastAsia="仿宋_GB2312" w:cs="仿宋_GB2312"/>
          <w:spacing w:val="2"/>
          <w:sz w:val="32"/>
          <w:szCs w:val="32"/>
          <w:lang w:val="en-US" w:eastAsia="en-US"/>
        </w:rPr>
      </w:pPr>
      <w:r>
        <w:rPr>
          <w:rFonts w:hint="eastAsia" w:ascii="仿宋_GB2312" w:hAnsi="仿宋_GB2312" w:eastAsia="仿宋_GB2312" w:cs="仿宋_GB2312"/>
          <w:spacing w:val="2"/>
          <w:sz w:val="32"/>
          <w:szCs w:val="32"/>
          <w:lang w:val="en-US" w:eastAsia="en-US"/>
        </w:rPr>
        <w:t>2.具备补贴发放和核销能力，能对消费者进行实名认证，能够与消费品以旧换新补贴活动平台实现对接。在县(市、区)</w:t>
      </w:r>
      <w:r>
        <w:rPr>
          <w:rFonts w:hint="eastAsia" w:ascii="仿宋_GB2312" w:hAnsi="仿宋_GB2312" w:eastAsia="仿宋_GB2312" w:cs="仿宋_GB2312"/>
          <w:spacing w:val="2"/>
          <w:sz w:val="32"/>
          <w:szCs w:val="32"/>
          <w:lang w:val="en-US" w:eastAsia="zh-CN"/>
        </w:rPr>
        <w:t>商</w:t>
      </w:r>
      <w:r>
        <w:rPr>
          <w:rFonts w:hint="eastAsia" w:ascii="仿宋_GB2312" w:hAnsi="仿宋_GB2312" w:eastAsia="仿宋_GB2312" w:cs="仿宋_GB2312"/>
          <w:spacing w:val="2"/>
          <w:sz w:val="32"/>
          <w:szCs w:val="32"/>
          <w:lang w:val="en-US" w:eastAsia="en-US"/>
        </w:rPr>
        <w:t>务主管部门和河北省消费品以旧换新活动承办平台完成参与补贴活动的商品品类和价格“双备案”。</w:t>
      </w:r>
    </w:p>
    <w:p w14:paraId="42FF6598">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eastAsia" w:ascii="仿宋_GB2312" w:hAnsi="仿宋_GB2312" w:eastAsia="仿宋_GB2312" w:cs="仿宋_GB2312"/>
          <w:spacing w:val="2"/>
          <w:sz w:val="32"/>
          <w:szCs w:val="32"/>
          <w:lang w:val="en-US" w:eastAsia="en-US"/>
        </w:rPr>
      </w:pPr>
      <w:r>
        <w:rPr>
          <w:rFonts w:hint="eastAsia" w:ascii="仿宋_GB2312" w:hAnsi="仿宋_GB2312" w:eastAsia="仿宋_GB2312" w:cs="仿宋_GB2312"/>
          <w:spacing w:val="2"/>
          <w:sz w:val="32"/>
          <w:szCs w:val="32"/>
          <w:lang w:val="en-US" w:eastAsia="en-US"/>
        </w:rPr>
        <w:t>3.具备对符合活动条件的销售订单进行不少于10个工作日的补贴资金垫付能力。对退货的补贴商品，能在3个工作日内将所退商品的补贴款退回补贴活动平台资金管理账户。自愿接受政府相关部门及委派的第三方机构对本次活动进行监督、审计，并同意以审计结果作为补贴申请的最终依据。在政府补贴之外还自主配套补贴，政企补贴能相互叠加使用。</w:t>
      </w:r>
    </w:p>
    <w:p w14:paraId="2CD2B987">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eastAsia" w:ascii="仿宋_GB2312" w:hAnsi="仿宋_GB2312" w:eastAsia="仿宋_GB2312" w:cs="仿宋_GB2312"/>
          <w:spacing w:val="2"/>
          <w:sz w:val="32"/>
          <w:szCs w:val="32"/>
          <w:lang w:val="en-US" w:eastAsia="en-US"/>
        </w:rPr>
      </w:pPr>
      <w:r>
        <w:rPr>
          <w:rFonts w:hint="eastAsia" w:ascii="仿宋_GB2312" w:hAnsi="仿宋_GB2312" w:eastAsia="仿宋_GB2312" w:cs="仿宋_GB2312"/>
          <w:spacing w:val="2"/>
          <w:sz w:val="32"/>
          <w:szCs w:val="32"/>
          <w:lang w:val="en-US" w:eastAsia="en-US"/>
        </w:rPr>
        <w:t>4.家电能够自身或通过与在商务部业务系统统一平台已备案的回收企业开展合作，具备家电旧货回收和新品安装能力，能够做到账物一致、账目清晰。</w:t>
      </w:r>
    </w:p>
    <w:p w14:paraId="068D413D">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en-US"/>
        </w:rPr>
        <w:t>5.具备完善的后台订单管理系统，能够开具合规发票，开设有对公账户。活动台账清晰完善，包括但不限于销售发票、消费者购买清单(含消费者姓名、身份证号、联系电话、购买产品名称及编码、销售额及补贴额等),并于活动结束后及时报送至辖区商务部门备案。</w:t>
      </w:r>
    </w:p>
    <w:p w14:paraId="5C604FAD">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eastAsia" w:ascii="仿宋_GB2312" w:hAnsi="仿宋_GB2312" w:eastAsia="仿宋_GB2312" w:cs="仿宋_GB2312"/>
          <w:spacing w:val="2"/>
          <w:sz w:val="32"/>
          <w:szCs w:val="32"/>
          <w:lang w:val="en-US" w:eastAsia="en-US"/>
        </w:rPr>
      </w:pPr>
      <w:r>
        <w:rPr>
          <w:rFonts w:hint="eastAsia" w:ascii="仿宋_GB2312" w:hAnsi="仿宋_GB2312" w:eastAsia="仿宋_GB2312" w:cs="仿宋_GB2312"/>
          <w:spacing w:val="2"/>
          <w:sz w:val="32"/>
          <w:szCs w:val="32"/>
          <w:lang w:val="en-US" w:eastAsia="en-US"/>
        </w:rPr>
        <w:t>6.具备防范骗补、套补等行为能力。近三年内无重大违法违规和失信记录。未发生较大及以上安全生产事故。且在2024年、2025年消费品以旧换新政策实施期间不存在违法违规行为。</w:t>
      </w:r>
    </w:p>
    <w:p w14:paraId="4BD260B9">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eastAsia" w:ascii="楷体_GB2312" w:hAnsi="楷体_GB2312" w:eastAsia="楷体_GB2312" w:cs="楷体_GB2312"/>
          <w:spacing w:val="2"/>
          <w:sz w:val="32"/>
          <w:szCs w:val="32"/>
          <w:lang w:val="en-US" w:eastAsia="en-US"/>
        </w:rPr>
      </w:pPr>
      <w:r>
        <w:rPr>
          <w:rFonts w:hint="eastAsia" w:ascii="楷体_GB2312" w:hAnsi="楷体_GB2312" w:eastAsia="楷体_GB2312" w:cs="楷体_GB2312"/>
          <w:spacing w:val="2"/>
          <w:sz w:val="32"/>
          <w:szCs w:val="32"/>
          <w:lang w:val="en-US" w:eastAsia="zh-CN"/>
        </w:rPr>
        <w:t>（二）</w:t>
      </w:r>
      <w:r>
        <w:rPr>
          <w:rFonts w:hint="eastAsia" w:ascii="楷体_GB2312" w:hAnsi="楷体_GB2312" w:eastAsia="楷体_GB2312" w:cs="楷体_GB2312"/>
          <w:spacing w:val="2"/>
          <w:sz w:val="32"/>
          <w:szCs w:val="32"/>
          <w:lang w:val="en-US" w:eastAsia="en-US"/>
        </w:rPr>
        <w:t>数码类承办单位条件</w:t>
      </w:r>
    </w:p>
    <w:p w14:paraId="1B52136D">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eastAsia" w:ascii="仿宋_GB2312" w:hAnsi="仿宋_GB2312" w:eastAsia="仿宋_GB2312" w:cs="仿宋_GB2312"/>
          <w:spacing w:val="2"/>
          <w:sz w:val="32"/>
          <w:szCs w:val="32"/>
          <w:lang w:val="en-US" w:eastAsia="en-US"/>
        </w:rPr>
      </w:pPr>
      <w:r>
        <w:rPr>
          <w:rFonts w:hint="eastAsia" w:ascii="仿宋_GB2312" w:hAnsi="仿宋_GB2312" w:eastAsia="仿宋_GB2312" w:cs="仿宋_GB2312"/>
          <w:spacing w:val="2"/>
          <w:sz w:val="32"/>
          <w:szCs w:val="32"/>
          <w:lang w:val="en-US" w:eastAsia="en-US"/>
        </w:rPr>
        <w:t>1.依法登记注册且独立结算的经营主体。如符合入统条件，要及时主动纳入我</w:t>
      </w:r>
      <w:r>
        <w:rPr>
          <w:rFonts w:hint="eastAsia" w:ascii="仿宋_GB2312" w:hAnsi="仿宋_GB2312" w:eastAsia="仿宋_GB2312" w:cs="仿宋_GB2312"/>
          <w:spacing w:val="2"/>
          <w:sz w:val="32"/>
          <w:szCs w:val="32"/>
          <w:lang w:val="en-US" w:eastAsia="zh-CN"/>
        </w:rPr>
        <w:t>县</w:t>
      </w:r>
      <w:r>
        <w:rPr>
          <w:rFonts w:hint="eastAsia" w:ascii="仿宋_GB2312" w:hAnsi="仿宋_GB2312" w:eastAsia="仿宋_GB2312" w:cs="仿宋_GB2312"/>
          <w:spacing w:val="2"/>
          <w:sz w:val="32"/>
          <w:szCs w:val="32"/>
          <w:lang w:val="en-US" w:eastAsia="en-US"/>
        </w:rPr>
        <w:t>批发零售业统计。</w:t>
      </w:r>
    </w:p>
    <w:p w14:paraId="1922DD50">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eastAsia" w:ascii="仿宋_GB2312" w:hAnsi="仿宋_GB2312" w:eastAsia="仿宋_GB2312" w:cs="仿宋_GB2312"/>
          <w:spacing w:val="2"/>
          <w:sz w:val="32"/>
          <w:szCs w:val="32"/>
          <w:lang w:val="en-US" w:eastAsia="en-US"/>
        </w:rPr>
      </w:pPr>
      <w:r>
        <w:rPr>
          <w:rFonts w:hint="eastAsia" w:ascii="仿宋_GB2312" w:hAnsi="仿宋_GB2312" w:eastAsia="仿宋_GB2312" w:cs="仿宋_GB2312"/>
          <w:spacing w:val="2"/>
          <w:sz w:val="32"/>
          <w:szCs w:val="32"/>
          <w:lang w:val="en-US" w:eastAsia="en-US"/>
        </w:rPr>
        <w:t>2.主营含数码产品、零售业务，且依法纳税、守法经营、财务制度健全、商业信誉良好的企业。</w:t>
      </w:r>
    </w:p>
    <w:p w14:paraId="4209418F">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en-US"/>
        </w:rPr>
        <w:t>3.要主动与河北省数码产品信息化平台对接，上传备案参与产品品类、型号等信息，按要求布设或升级改造相关收单机具，并具备完善的进销存订单管理系统和开具电子发票的能力。</w:t>
      </w:r>
    </w:p>
    <w:p w14:paraId="41DE64DA">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default" w:ascii="仿宋_GB2312" w:hAnsi="仿宋_GB2312" w:eastAsia="仿宋_GB2312" w:cs="仿宋_GB2312"/>
          <w:spacing w:val="2"/>
          <w:sz w:val="32"/>
          <w:szCs w:val="32"/>
          <w:lang w:val="en-US" w:eastAsia="zh-CN"/>
        </w:rPr>
      </w:pPr>
      <w:r>
        <w:rPr>
          <w:rFonts w:hint="default" w:ascii="仿宋_GB2312" w:hAnsi="仿宋_GB2312" w:eastAsia="仿宋_GB2312" w:cs="仿宋_GB2312"/>
          <w:spacing w:val="2"/>
          <w:sz w:val="32"/>
          <w:szCs w:val="32"/>
          <w:lang w:val="en-US" w:eastAsia="zh-CN"/>
        </w:rPr>
        <w:t>4.自愿参与并有一定的垫资和及时退回补贴资金的能力，建立完整清晰的活动台账，自愿接受政府相关部门及委派的第三方机构对活动进行监督、审计，并同意以审计结果作为补贴申请的最终依据 。</w:t>
      </w:r>
    </w:p>
    <w:p w14:paraId="7BF921C2">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default" w:ascii="仿宋_GB2312" w:hAnsi="仿宋_GB2312" w:eastAsia="仿宋_GB2312" w:cs="仿宋_GB2312"/>
          <w:spacing w:val="2"/>
          <w:sz w:val="32"/>
          <w:szCs w:val="32"/>
          <w:lang w:val="en-US" w:eastAsia="zh-CN"/>
        </w:rPr>
      </w:pPr>
      <w:r>
        <w:rPr>
          <w:rFonts w:hint="default" w:ascii="仿宋_GB2312" w:hAnsi="仿宋_GB2312" w:eastAsia="仿宋_GB2312" w:cs="仿宋_GB2312"/>
          <w:spacing w:val="2"/>
          <w:sz w:val="32"/>
          <w:szCs w:val="32"/>
          <w:lang w:val="en-US" w:eastAsia="zh-CN"/>
        </w:rPr>
        <w:t>5.能按核销和审计的要求，自愿使用第三方服务机构设备或系统上传相关资料，包括产品品牌型号、SN 码 、IMEI 码、现场激活照片等。</w:t>
      </w:r>
    </w:p>
    <w:p w14:paraId="418B8119">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default" w:ascii="仿宋_GB2312" w:hAnsi="仿宋_GB2312" w:eastAsia="仿宋_GB2312" w:cs="仿宋_GB2312"/>
          <w:spacing w:val="2"/>
          <w:sz w:val="32"/>
          <w:szCs w:val="32"/>
          <w:lang w:val="en-US" w:eastAsia="zh-CN"/>
        </w:rPr>
      </w:pPr>
      <w:r>
        <w:rPr>
          <w:rFonts w:hint="default" w:ascii="仿宋_GB2312" w:hAnsi="仿宋_GB2312" w:eastAsia="仿宋_GB2312" w:cs="仿宋_GB2312"/>
          <w:spacing w:val="2"/>
          <w:sz w:val="32"/>
          <w:szCs w:val="32"/>
          <w:lang w:val="en-US" w:eastAsia="zh-CN"/>
        </w:rPr>
        <w:t>6.具备系统化防范骗补、套补等风险的制度和措施。</w:t>
      </w:r>
    </w:p>
    <w:p w14:paraId="2B77950C">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default" w:ascii="仿宋_GB2312" w:hAnsi="仿宋_GB2312" w:eastAsia="仿宋_GB2312" w:cs="仿宋_GB2312"/>
          <w:spacing w:val="2"/>
          <w:sz w:val="32"/>
          <w:szCs w:val="32"/>
          <w:lang w:val="en-US" w:eastAsia="zh-CN"/>
        </w:rPr>
      </w:pPr>
      <w:r>
        <w:rPr>
          <w:rFonts w:hint="default" w:ascii="仿宋_GB2312" w:hAnsi="仿宋_GB2312" w:eastAsia="仿宋_GB2312" w:cs="仿宋_GB2312"/>
          <w:spacing w:val="2"/>
          <w:sz w:val="32"/>
          <w:szCs w:val="32"/>
          <w:lang w:val="en-US" w:eastAsia="zh-CN"/>
        </w:rPr>
        <w:t>7.资信状况良好，承办单位及法人、负责人无偷漏税及不良违规、违法、失信、严重行政处罚等记录；三年内无重大安全事故。且在2025年消费品以旧换新政策实施期间不存在违法违规行为 。</w:t>
      </w:r>
    </w:p>
    <w:p w14:paraId="25B2D148">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default" w:ascii="仿宋_GB2312" w:hAnsi="仿宋_GB2312" w:eastAsia="仿宋_GB2312" w:cs="仿宋_GB2312"/>
          <w:spacing w:val="2"/>
          <w:sz w:val="32"/>
          <w:szCs w:val="32"/>
          <w:lang w:val="en-US" w:eastAsia="zh-CN"/>
        </w:rPr>
      </w:pPr>
      <w:r>
        <w:rPr>
          <w:rFonts w:hint="default" w:ascii="仿宋_GB2312" w:hAnsi="仿宋_GB2312" w:eastAsia="仿宋_GB2312" w:cs="仿宋_GB2312"/>
          <w:spacing w:val="2"/>
          <w:sz w:val="32"/>
          <w:szCs w:val="32"/>
          <w:lang w:val="en-US" w:eastAsia="zh-CN"/>
        </w:rPr>
        <w:t>8.参与主体自愿签订承诺书。严格遵守活动相关规定要求，规范经营，配合有关部门严防套补、骗补等行为。参与主体有违规、传播不实信息、不按照统筹安排有序开展数码产品购新补贴活动的，自愿接受相应惩处并退出参与主体名单。</w:t>
      </w:r>
    </w:p>
    <w:p w14:paraId="08A08556">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default" w:ascii="仿宋_GB2312" w:hAnsi="仿宋_GB2312" w:eastAsia="仿宋_GB2312" w:cs="仿宋_GB2312"/>
          <w:spacing w:val="2"/>
          <w:sz w:val="32"/>
          <w:szCs w:val="32"/>
          <w:lang w:val="en-US" w:eastAsia="zh-CN"/>
        </w:rPr>
        <w:t>9.参与企业要指定专人或组建专业团队负责数码产品购新补贴工作，做好补贴活动政策宣传，能及时妥善处理好消费者咨询和投诉</w:t>
      </w:r>
      <w:r>
        <w:rPr>
          <w:rFonts w:hint="eastAsia" w:ascii="仿宋_GB2312" w:hAnsi="仿宋_GB2312" w:eastAsia="仿宋_GB2312" w:cs="仿宋_GB2312"/>
          <w:spacing w:val="2"/>
          <w:sz w:val="32"/>
          <w:szCs w:val="32"/>
          <w:lang w:val="en-US" w:eastAsia="zh-CN"/>
        </w:rPr>
        <w:t>。</w:t>
      </w:r>
    </w:p>
    <w:p w14:paraId="7EF4FFD0">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default" w:ascii="仿宋_GB2312" w:hAnsi="仿宋_GB2312" w:eastAsia="仿宋_GB2312" w:cs="仿宋_GB2312"/>
          <w:spacing w:val="2"/>
          <w:sz w:val="32"/>
          <w:szCs w:val="32"/>
          <w:lang w:val="en-US" w:eastAsia="zh-CN"/>
        </w:rPr>
      </w:pPr>
      <w:r>
        <w:rPr>
          <w:rFonts w:hint="default" w:ascii="仿宋_GB2312" w:hAnsi="仿宋_GB2312" w:eastAsia="仿宋_GB2312" w:cs="仿宋_GB2312"/>
          <w:spacing w:val="2"/>
          <w:sz w:val="32"/>
          <w:szCs w:val="32"/>
          <w:lang w:val="en-US" w:eastAsia="zh-CN"/>
        </w:rPr>
        <w:t>10.一企多店情况需符合第三方服务机构相关上线要求。依法登记、独立结算，主营数码产品零售业务。</w:t>
      </w:r>
    </w:p>
    <w:p w14:paraId="592422BF">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eastAsia" w:ascii="黑体" w:hAnsi="黑体" w:eastAsia="黑体" w:cs="黑体"/>
          <w:spacing w:val="2"/>
          <w:sz w:val="32"/>
          <w:szCs w:val="32"/>
          <w:lang w:val="en-US" w:eastAsia="zh-CN"/>
        </w:rPr>
      </w:pPr>
      <w:r>
        <w:rPr>
          <w:rFonts w:hint="eastAsia" w:ascii="黑体" w:hAnsi="黑体" w:eastAsia="黑体" w:cs="黑体"/>
          <w:spacing w:val="2"/>
          <w:sz w:val="32"/>
          <w:szCs w:val="32"/>
          <w:lang w:val="en-US" w:eastAsia="zh-CN"/>
        </w:rPr>
        <w:t>三、企业申报材料</w:t>
      </w:r>
    </w:p>
    <w:p w14:paraId="5E76DD65">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default" w:ascii="仿宋_GB2312" w:hAnsi="仿宋_GB2312" w:eastAsia="仿宋_GB2312" w:cs="仿宋_GB2312"/>
          <w:spacing w:val="2"/>
          <w:sz w:val="32"/>
          <w:szCs w:val="32"/>
          <w:lang w:val="en-US" w:eastAsia="zh-CN"/>
        </w:rPr>
      </w:pPr>
      <w:r>
        <w:rPr>
          <w:rFonts w:hint="default" w:ascii="仿宋_GB2312" w:hAnsi="仿宋_GB2312" w:eastAsia="仿宋_GB2312" w:cs="仿宋_GB2312"/>
          <w:spacing w:val="2"/>
          <w:sz w:val="32"/>
          <w:szCs w:val="32"/>
          <w:lang w:val="en-US" w:eastAsia="zh-CN"/>
        </w:rPr>
        <w:t>每类材料一式两份，按顺序装订成册，分别加盖单位公章，整体材料加盖骑缝章。全套盖章纸质申报材料还须扫描 PDF电子版一并提交。申报材料不予退回。</w:t>
      </w:r>
    </w:p>
    <w:p w14:paraId="1EDEA2BF">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eastAsia" w:ascii="楷体_GB2312" w:hAnsi="楷体_GB2312" w:eastAsia="楷体_GB2312" w:cs="楷体_GB2312"/>
          <w:spacing w:val="2"/>
          <w:sz w:val="32"/>
          <w:szCs w:val="32"/>
          <w:lang w:val="en-US" w:eastAsia="zh-CN"/>
        </w:rPr>
      </w:pPr>
      <w:r>
        <w:rPr>
          <w:rFonts w:hint="eastAsia" w:ascii="楷体_GB2312" w:hAnsi="楷体_GB2312" w:eastAsia="楷体_GB2312" w:cs="楷体_GB2312"/>
          <w:spacing w:val="2"/>
          <w:sz w:val="32"/>
          <w:szCs w:val="32"/>
          <w:lang w:val="en-US" w:eastAsia="zh-CN"/>
        </w:rPr>
        <w:t>（一）家电类：</w:t>
      </w:r>
    </w:p>
    <w:p w14:paraId="043638BD">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default" w:ascii="仿宋_GB2312" w:hAnsi="仿宋_GB2312" w:eastAsia="仿宋_GB2312" w:cs="仿宋_GB2312"/>
          <w:spacing w:val="2"/>
          <w:sz w:val="32"/>
          <w:szCs w:val="32"/>
          <w:lang w:val="en-US" w:eastAsia="zh-CN"/>
        </w:rPr>
      </w:pPr>
      <w:r>
        <w:rPr>
          <w:rFonts w:hint="default" w:ascii="仿宋_GB2312" w:hAnsi="仿宋_GB2312" w:eastAsia="仿宋_GB2312" w:cs="仿宋_GB2312"/>
          <w:spacing w:val="2"/>
          <w:sz w:val="32"/>
          <w:szCs w:val="32"/>
          <w:lang w:val="en-US" w:eastAsia="zh-CN"/>
        </w:rPr>
        <w:t>1.《2026河北省消费品以旧换新承办单位申请表》(附件1);</w:t>
      </w:r>
    </w:p>
    <w:p w14:paraId="5379A908">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default" w:ascii="仿宋_GB2312" w:hAnsi="仿宋_GB2312" w:eastAsia="仿宋_GB2312" w:cs="仿宋_GB2312"/>
          <w:spacing w:val="2"/>
          <w:sz w:val="32"/>
          <w:szCs w:val="32"/>
          <w:lang w:val="en-US" w:eastAsia="zh-CN"/>
        </w:rPr>
      </w:pPr>
      <w:r>
        <w:rPr>
          <w:rFonts w:hint="default" w:ascii="仿宋_GB2312" w:hAnsi="仿宋_GB2312" w:eastAsia="仿宋_GB2312" w:cs="仿宋_GB2312"/>
          <w:spacing w:val="2"/>
          <w:sz w:val="32"/>
          <w:szCs w:val="32"/>
          <w:lang w:val="en-US" w:eastAsia="zh-CN"/>
        </w:rPr>
        <w:t>2.《2026河北省消费品以旧换新承办单位承诺书》(附件2);</w:t>
      </w:r>
    </w:p>
    <w:p w14:paraId="09AE8A90">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default" w:ascii="仿宋_GB2312" w:hAnsi="仿宋_GB2312" w:eastAsia="仿宋_GB2312" w:cs="仿宋_GB2312"/>
          <w:spacing w:val="2"/>
          <w:sz w:val="32"/>
          <w:szCs w:val="32"/>
          <w:lang w:val="en-US" w:eastAsia="zh-CN"/>
        </w:rPr>
      </w:pPr>
      <w:r>
        <w:rPr>
          <w:rFonts w:hint="default" w:ascii="仿宋_GB2312" w:hAnsi="仿宋_GB2312" w:eastAsia="仿宋_GB2312" w:cs="仿宋_GB2312"/>
          <w:spacing w:val="2"/>
          <w:sz w:val="32"/>
          <w:szCs w:val="32"/>
          <w:lang w:val="en-US" w:eastAsia="zh-CN"/>
        </w:rPr>
        <w:t>3.参加活动承办单位门店申报表(附件3);</w:t>
      </w:r>
    </w:p>
    <w:p w14:paraId="1D82DB1B">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default" w:ascii="仿宋_GB2312" w:hAnsi="仿宋_GB2312" w:eastAsia="仿宋_GB2312" w:cs="仿宋_GB2312"/>
          <w:spacing w:val="2"/>
          <w:sz w:val="32"/>
          <w:szCs w:val="32"/>
          <w:lang w:val="en-US" w:eastAsia="zh-CN"/>
        </w:rPr>
      </w:pPr>
      <w:r>
        <w:rPr>
          <w:rFonts w:hint="default" w:ascii="仿宋_GB2312" w:hAnsi="仿宋_GB2312" w:eastAsia="仿宋_GB2312" w:cs="仿宋_GB2312"/>
          <w:spacing w:val="2"/>
          <w:sz w:val="32"/>
          <w:szCs w:val="32"/>
          <w:lang w:val="en-US" w:eastAsia="zh-CN"/>
        </w:rPr>
        <w:t>4.营业执照、法定代表人或负责人身份证(正反面)、银行对公账户开户许可证复印件(包括开户银行、账号、行号等，并加盖公章),其中，涉及一店多体须注明；</w:t>
      </w:r>
    </w:p>
    <w:p w14:paraId="25443787">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default" w:ascii="仿宋_GB2312" w:hAnsi="仿宋_GB2312" w:eastAsia="仿宋_GB2312" w:cs="仿宋_GB2312"/>
          <w:spacing w:val="2"/>
          <w:sz w:val="32"/>
          <w:szCs w:val="32"/>
          <w:lang w:val="en-US" w:eastAsia="zh-CN"/>
        </w:rPr>
      </w:pPr>
      <w:r>
        <w:rPr>
          <w:rFonts w:hint="default" w:ascii="仿宋_GB2312" w:hAnsi="仿宋_GB2312" w:eastAsia="仿宋_GB2312" w:cs="仿宋_GB2312"/>
          <w:spacing w:val="2"/>
          <w:sz w:val="32"/>
          <w:szCs w:val="32"/>
          <w:lang w:val="en-US" w:eastAsia="zh-CN"/>
        </w:rPr>
        <w:t>5.参加活动商品品类及价格备案表(附件4)、经营地址照片(水印相机拍摄);</w:t>
      </w:r>
    </w:p>
    <w:p w14:paraId="45F7E9A0">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default" w:ascii="仿宋_GB2312" w:hAnsi="仿宋_GB2312" w:eastAsia="仿宋_GB2312" w:cs="仿宋_GB2312"/>
          <w:spacing w:val="2"/>
          <w:sz w:val="32"/>
          <w:szCs w:val="32"/>
          <w:lang w:val="en-US" w:eastAsia="zh-CN"/>
        </w:rPr>
      </w:pPr>
      <w:r>
        <w:rPr>
          <w:rFonts w:hint="default" w:ascii="仿宋_GB2312" w:hAnsi="仿宋_GB2312" w:eastAsia="仿宋_GB2312" w:cs="仿宋_GB2312"/>
          <w:spacing w:val="2"/>
          <w:sz w:val="32"/>
          <w:szCs w:val="32"/>
          <w:lang w:val="en-US" w:eastAsia="zh-CN"/>
        </w:rPr>
        <w:t>6.“信用中国”(www.creditchina.gov.cn)等各官方网站下载的信用记录或中国政府采购网(www.ccgp.gov.cn)  下载的“政府采购严重违法失信行为信息记录”结果截图；</w:t>
      </w:r>
    </w:p>
    <w:p w14:paraId="6EB6EA51">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default" w:ascii="仿宋_GB2312" w:hAnsi="仿宋_GB2312" w:eastAsia="仿宋_GB2312" w:cs="仿宋_GB2312"/>
          <w:spacing w:val="2"/>
          <w:sz w:val="32"/>
          <w:szCs w:val="32"/>
          <w:lang w:val="en-US" w:eastAsia="zh-CN"/>
        </w:rPr>
      </w:pPr>
      <w:r>
        <w:rPr>
          <w:rFonts w:hint="default" w:ascii="仿宋_GB2312" w:hAnsi="仿宋_GB2312" w:eastAsia="仿宋_GB2312" w:cs="仿宋_GB2312"/>
          <w:spacing w:val="2"/>
          <w:sz w:val="32"/>
          <w:szCs w:val="32"/>
          <w:lang w:val="en-US" w:eastAsia="zh-CN"/>
        </w:rPr>
        <w:t>7.单位介绍及符合申报条件的相关业务、能力、经验的介绍和证明材料，包括但不限于家电类品牌商授权函或运营商授权函原件照片及复印件、2025年度至今的完税证明；</w:t>
      </w:r>
    </w:p>
    <w:p w14:paraId="05378B02">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default" w:ascii="仿宋_GB2312" w:hAnsi="仿宋_GB2312" w:eastAsia="仿宋_GB2312" w:cs="仿宋_GB2312"/>
          <w:spacing w:val="2"/>
          <w:sz w:val="32"/>
          <w:szCs w:val="32"/>
          <w:lang w:val="en-US" w:eastAsia="zh-CN"/>
        </w:rPr>
      </w:pPr>
      <w:r>
        <w:rPr>
          <w:rFonts w:hint="default" w:ascii="仿宋_GB2312" w:hAnsi="仿宋_GB2312" w:eastAsia="仿宋_GB2312" w:cs="仿宋_GB2312"/>
          <w:spacing w:val="2"/>
          <w:sz w:val="32"/>
          <w:szCs w:val="32"/>
          <w:lang w:val="en-US" w:eastAsia="zh-CN"/>
        </w:rPr>
        <w:t>8.活动方案(必须含进乡镇、街道，进乡村、社区并开展宣传活动内容),包括自身促销举措、以旧换新措施、风险管控措施、包括对骗补、套补等行为的管控措施等；</w:t>
      </w:r>
    </w:p>
    <w:p w14:paraId="0BCA8BFA">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default" w:ascii="仿宋_GB2312" w:hAnsi="仿宋_GB2312" w:eastAsia="仿宋_GB2312" w:cs="仿宋_GB2312"/>
          <w:spacing w:val="2"/>
          <w:sz w:val="32"/>
          <w:szCs w:val="32"/>
          <w:lang w:val="en-US" w:eastAsia="zh-CN"/>
        </w:rPr>
      </w:pPr>
      <w:r>
        <w:rPr>
          <w:rFonts w:hint="default" w:ascii="仿宋_GB2312" w:hAnsi="仿宋_GB2312" w:eastAsia="仿宋_GB2312" w:cs="仿宋_GB2312"/>
          <w:spacing w:val="2"/>
          <w:sz w:val="32"/>
          <w:szCs w:val="32"/>
          <w:lang w:val="en-US" w:eastAsia="zh-CN"/>
        </w:rPr>
        <w:t>9.须具备废旧家电回收能力，与正规回收拆解企业签订协议，承办单位要建立废旧家电回收台账，将回收的废旧家电交由正规回收拆解企业处置。</w:t>
      </w:r>
    </w:p>
    <w:p w14:paraId="2596C25F">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eastAsia" w:ascii="楷体_GB2312" w:hAnsi="楷体_GB2312" w:eastAsia="楷体_GB2312" w:cs="楷体_GB2312"/>
          <w:spacing w:val="2"/>
          <w:sz w:val="32"/>
          <w:szCs w:val="32"/>
          <w:lang w:val="en-US" w:eastAsia="zh-CN"/>
        </w:rPr>
      </w:pPr>
      <w:r>
        <w:rPr>
          <w:rFonts w:hint="eastAsia" w:ascii="楷体_GB2312" w:hAnsi="楷体_GB2312" w:eastAsia="楷体_GB2312" w:cs="楷体_GB2312"/>
          <w:spacing w:val="2"/>
          <w:sz w:val="32"/>
          <w:szCs w:val="32"/>
          <w:lang w:val="en-US" w:eastAsia="zh-CN"/>
        </w:rPr>
        <w:t>（二）数码类：</w:t>
      </w:r>
    </w:p>
    <w:p w14:paraId="3153C829">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default" w:ascii="仿宋_GB2312" w:hAnsi="仿宋_GB2312" w:eastAsia="仿宋_GB2312" w:cs="仿宋_GB2312"/>
          <w:spacing w:val="2"/>
          <w:sz w:val="32"/>
          <w:szCs w:val="32"/>
          <w:lang w:val="en-US" w:eastAsia="zh-CN"/>
        </w:rPr>
      </w:pPr>
      <w:r>
        <w:rPr>
          <w:rFonts w:hint="default" w:ascii="仿宋_GB2312" w:hAnsi="仿宋_GB2312" w:eastAsia="仿宋_GB2312" w:cs="仿宋_GB2312"/>
          <w:spacing w:val="2"/>
          <w:sz w:val="32"/>
          <w:szCs w:val="32"/>
          <w:lang w:val="en-US" w:eastAsia="zh-CN"/>
        </w:rPr>
        <w:t>1.《2026河北省消费品以旧换新承办单位申请表》(附件1);</w:t>
      </w:r>
    </w:p>
    <w:p w14:paraId="1BB07217">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default" w:ascii="仿宋_GB2312" w:hAnsi="仿宋_GB2312" w:eastAsia="仿宋_GB2312" w:cs="仿宋_GB2312"/>
          <w:spacing w:val="2"/>
          <w:sz w:val="32"/>
          <w:szCs w:val="32"/>
          <w:lang w:val="en-US" w:eastAsia="zh-CN"/>
        </w:rPr>
      </w:pPr>
      <w:r>
        <w:rPr>
          <w:rFonts w:hint="default" w:ascii="仿宋_GB2312" w:hAnsi="仿宋_GB2312" w:eastAsia="仿宋_GB2312" w:cs="仿宋_GB2312"/>
          <w:spacing w:val="2"/>
          <w:sz w:val="32"/>
          <w:szCs w:val="32"/>
          <w:lang w:val="en-US" w:eastAsia="zh-CN"/>
        </w:rPr>
        <w:t>2.《2026河北省消费品以旧换新承办单位承诺书》(附件2);</w:t>
      </w:r>
    </w:p>
    <w:p w14:paraId="093348C5">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default" w:ascii="仿宋_GB2312" w:hAnsi="仿宋_GB2312" w:eastAsia="仿宋_GB2312" w:cs="仿宋_GB2312"/>
          <w:spacing w:val="2"/>
          <w:sz w:val="32"/>
          <w:szCs w:val="32"/>
          <w:lang w:val="en-US" w:eastAsia="zh-CN"/>
        </w:rPr>
      </w:pPr>
      <w:r>
        <w:rPr>
          <w:rFonts w:hint="default" w:ascii="仿宋_GB2312" w:hAnsi="仿宋_GB2312" w:eastAsia="仿宋_GB2312" w:cs="仿宋_GB2312"/>
          <w:spacing w:val="2"/>
          <w:sz w:val="32"/>
          <w:szCs w:val="32"/>
          <w:lang w:val="en-US" w:eastAsia="zh-CN"/>
        </w:rPr>
        <w:t>3.参加活动承办单位门店申报表(附件3);</w:t>
      </w:r>
    </w:p>
    <w:p w14:paraId="20C48B31">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default" w:ascii="仿宋_GB2312" w:hAnsi="仿宋_GB2312" w:eastAsia="仿宋_GB2312" w:cs="仿宋_GB2312"/>
          <w:spacing w:val="2"/>
          <w:sz w:val="32"/>
          <w:szCs w:val="32"/>
          <w:lang w:val="en-US" w:eastAsia="zh-CN"/>
        </w:rPr>
      </w:pPr>
      <w:r>
        <w:rPr>
          <w:rFonts w:hint="default" w:ascii="仿宋_GB2312" w:hAnsi="仿宋_GB2312" w:eastAsia="仿宋_GB2312" w:cs="仿宋_GB2312"/>
          <w:spacing w:val="2"/>
          <w:sz w:val="32"/>
          <w:szCs w:val="32"/>
          <w:lang w:val="en-US" w:eastAsia="zh-CN"/>
        </w:rPr>
        <w:t>4.营业执照、法定代表人或负责人身份证(正反面)、银行对公账户开户许可证复印件(包括开户银行、账号、行号等，并加盖公章),其中，涉及一店多体须注明；品牌授权函、进销存系统截图、经营地址照片；</w:t>
      </w:r>
    </w:p>
    <w:p w14:paraId="13397866">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default" w:ascii="仿宋_GB2312" w:hAnsi="仿宋_GB2312" w:eastAsia="仿宋_GB2312" w:cs="仿宋_GB2312"/>
          <w:spacing w:val="2"/>
          <w:sz w:val="32"/>
          <w:szCs w:val="32"/>
          <w:lang w:val="en-US" w:eastAsia="zh-CN"/>
        </w:rPr>
      </w:pPr>
      <w:r>
        <w:rPr>
          <w:rFonts w:hint="default" w:ascii="仿宋_GB2312" w:hAnsi="仿宋_GB2312" w:eastAsia="仿宋_GB2312" w:cs="仿宋_GB2312"/>
          <w:spacing w:val="2"/>
          <w:sz w:val="32"/>
          <w:szCs w:val="32"/>
          <w:lang w:val="en-US" w:eastAsia="zh-CN"/>
        </w:rPr>
        <w:t>5.参加活动商品品类及价格备案表(附件4)、经营地址照片(水印相机拍摄);</w:t>
      </w:r>
    </w:p>
    <w:p w14:paraId="202BD93A">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default" w:ascii="仿宋_GB2312" w:hAnsi="仿宋_GB2312" w:eastAsia="仿宋_GB2312" w:cs="仿宋_GB2312"/>
          <w:spacing w:val="2"/>
          <w:sz w:val="32"/>
          <w:szCs w:val="32"/>
          <w:lang w:val="en-US" w:eastAsia="zh-CN"/>
        </w:rPr>
      </w:pPr>
      <w:r>
        <w:rPr>
          <w:rFonts w:hint="default" w:ascii="仿宋_GB2312" w:hAnsi="仿宋_GB2312" w:eastAsia="仿宋_GB2312" w:cs="仿宋_GB2312"/>
          <w:spacing w:val="2"/>
          <w:sz w:val="32"/>
          <w:szCs w:val="32"/>
          <w:lang w:val="en-US" w:eastAsia="zh-CN"/>
        </w:rPr>
        <w:t>6.“信用中国”(www.creditchina.gov.cn)等各官方网站下载的信用记录或中国政府采购网(www.ccgp.gov.cn) 下载的“政府采购严重违法失信行为信息记录”结果截图；</w:t>
      </w:r>
    </w:p>
    <w:p w14:paraId="700E11FF">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default" w:ascii="仿宋_GB2312" w:hAnsi="仿宋_GB2312" w:eastAsia="仿宋_GB2312" w:cs="仿宋_GB2312"/>
          <w:spacing w:val="2"/>
          <w:sz w:val="32"/>
          <w:szCs w:val="32"/>
          <w:lang w:val="en-US" w:eastAsia="zh-CN"/>
        </w:rPr>
      </w:pPr>
      <w:r>
        <w:rPr>
          <w:rFonts w:hint="default" w:ascii="仿宋_GB2312" w:hAnsi="仿宋_GB2312" w:eastAsia="仿宋_GB2312" w:cs="仿宋_GB2312"/>
          <w:spacing w:val="2"/>
          <w:sz w:val="32"/>
          <w:szCs w:val="32"/>
          <w:lang w:val="en-US" w:eastAsia="zh-CN"/>
        </w:rPr>
        <w:t>7.单位介绍及符合申报条件的相关业务、能力、经验的介绍和证明材料，包括但不限于2025年度至今的完税证明；</w:t>
      </w:r>
    </w:p>
    <w:p w14:paraId="11BD9F5D">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default" w:ascii="仿宋_GB2312" w:hAnsi="仿宋_GB2312" w:eastAsia="仿宋_GB2312" w:cs="仿宋_GB2312"/>
          <w:spacing w:val="2"/>
          <w:sz w:val="32"/>
          <w:szCs w:val="32"/>
          <w:lang w:val="en-US" w:eastAsia="zh-CN"/>
        </w:rPr>
      </w:pPr>
      <w:r>
        <w:rPr>
          <w:rFonts w:hint="default" w:ascii="仿宋_GB2312" w:hAnsi="仿宋_GB2312" w:eastAsia="仿宋_GB2312" w:cs="仿宋_GB2312"/>
          <w:spacing w:val="2"/>
          <w:sz w:val="32"/>
          <w:szCs w:val="32"/>
          <w:lang w:val="en-US" w:eastAsia="zh-CN"/>
        </w:rPr>
        <w:t>8.活动方案(必须含进乡镇、街道，进乡村、社区并开展宣传活动内容),包括自身促销举措、以旧换新措施、风险管控措施、包括对骗补、套补等行为的管控措施等。</w:t>
      </w:r>
    </w:p>
    <w:p w14:paraId="3DADBBAF">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eastAsia" w:ascii="黑体" w:hAnsi="黑体" w:eastAsia="黑体" w:cs="黑体"/>
          <w:spacing w:val="2"/>
          <w:sz w:val="32"/>
          <w:szCs w:val="32"/>
          <w:lang w:val="en-US" w:eastAsia="zh-CN"/>
        </w:rPr>
      </w:pPr>
      <w:r>
        <w:rPr>
          <w:rFonts w:hint="eastAsia" w:ascii="黑体" w:hAnsi="黑体" w:eastAsia="黑体" w:cs="黑体"/>
          <w:spacing w:val="2"/>
          <w:sz w:val="32"/>
          <w:szCs w:val="32"/>
          <w:lang w:val="en-US" w:eastAsia="zh-CN"/>
        </w:rPr>
        <w:t>四、申报流程</w:t>
      </w:r>
    </w:p>
    <w:p w14:paraId="1CBEB742">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default" w:ascii="仿宋_GB2312" w:hAnsi="仿宋_GB2312" w:eastAsia="仿宋_GB2312" w:cs="仿宋_GB2312"/>
          <w:spacing w:val="2"/>
          <w:sz w:val="32"/>
          <w:szCs w:val="32"/>
          <w:lang w:val="en-US" w:eastAsia="zh-CN"/>
        </w:rPr>
      </w:pPr>
      <w:r>
        <w:rPr>
          <w:rFonts w:hint="default" w:ascii="仿宋_GB2312" w:hAnsi="仿宋_GB2312" w:eastAsia="仿宋_GB2312" w:cs="仿宋_GB2312"/>
          <w:spacing w:val="2"/>
          <w:sz w:val="32"/>
          <w:szCs w:val="32"/>
          <w:lang w:val="en-US" w:eastAsia="zh-CN"/>
        </w:rPr>
        <w:t>申报单位按照通知要求</w:t>
      </w:r>
      <w:r>
        <w:rPr>
          <w:rFonts w:hint="eastAsia" w:ascii="仿宋_GB2312" w:hAnsi="仿宋_GB2312" w:eastAsia="仿宋_GB2312" w:cs="仿宋_GB2312"/>
          <w:spacing w:val="2"/>
          <w:sz w:val="32"/>
          <w:szCs w:val="32"/>
          <w:lang w:val="en-US" w:eastAsia="zh-CN"/>
        </w:rPr>
        <w:t>，于</w:t>
      </w:r>
      <w:r>
        <w:rPr>
          <w:rFonts w:hint="default" w:ascii="仿宋_GB2312" w:hAnsi="仿宋_GB2312" w:eastAsia="仿宋_GB2312" w:cs="仿宋_GB2312"/>
          <w:spacing w:val="2"/>
          <w:sz w:val="32"/>
          <w:szCs w:val="32"/>
          <w:lang w:val="en-US" w:eastAsia="zh-CN"/>
        </w:rPr>
        <w:t>1月28日</w:t>
      </w:r>
      <w:r>
        <w:rPr>
          <w:rFonts w:hint="eastAsia" w:ascii="仿宋_GB2312" w:hAnsi="仿宋_GB2312" w:eastAsia="仿宋_GB2312" w:cs="仿宋_GB2312"/>
          <w:spacing w:val="2"/>
          <w:sz w:val="32"/>
          <w:szCs w:val="32"/>
          <w:lang w:val="en-US" w:eastAsia="zh-CN"/>
        </w:rPr>
        <w:t>上</w:t>
      </w:r>
      <w:r>
        <w:rPr>
          <w:rFonts w:hint="default" w:ascii="仿宋_GB2312" w:hAnsi="仿宋_GB2312" w:eastAsia="仿宋_GB2312" w:cs="仿宋_GB2312"/>
          <w:spacing w:val="2"/>
          <w:sz w:val="32"/>
          <w:szCs w:val="32"/>
          <w:lang w:val="en-US" w:eastAsia="zh-CN"/>
        </w:rPr>
        <w:t>午1</w:t>
      </w:r>
      <w:r>
        <w:rPr>
          <w:rFonts w:hint="eastAsia" w:ascii="仿宋_GB2312" w:hAnsi="仿宋_GB2312" w:eastAsia="仿宋_GB2312" w:cs="仿宋_GB2312"/>
          <w:spacing w:val="2"/>
          <w:sz w:val="32"/>
          <w:szCs w:val="32"/>
          <w:lang w:val="en-US" w:eastAsia="zh-CN"/>
        </w:rPr>
        <w:t>2</w:t>
      </w:r>
      <w:r>
        <w:rPr>
          <w:rFonts w:hint="default" w:ascii="仿宋_GB2312" w:hAnsi="仿宋_GB2312" w:eastAsia="仿宋_GB2312" w:cs="仿宋_GB2312"/>
          <w:spacing w:val="2"/>
          <w:sz w:val="32"/>
          <w:szCs w:val="32"/>
          <w:lang w:val="en-US" w:eastAsia="zh-CN"/>
        </w:rPr>
        <w:t>:00前将申报材料报送至注册地所在县商务主管部门。</w:t>
      </w:r>
    </w:p>
    <w:p w14:paraId="44A885B8">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default"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联系人：刘备</w:t>
      </w:r>
    </w:p>
    <w:p w14:paraId="329A4540">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default" w:ascii="仿宋_GB2312" w:hAnsi="仿宋_GB2312" w:eastAsia="仿宋_GB2312" w:cs="仿宋_GB2312"/>
          <w:spacing w:val="2"/>
          <w:sz w:val="32"/>
          <w:szCs w:val="32"/>
          <w:lang w:val="en-US" w:eastAsia="zh-CN"/>
        </w:rPr>
      </w:pPr>
      <w:r>
        <w:rPr>
          <w:rFonts w:hint="default" w:ascii="仿宋_GB2312" w:hAnsi="仿宋_GB2312" w:eastAsia="仿宋_GB2312" w:cs="仿宋_GB2312"/>
          <w:spacing w:val="2"/>
          <w:sz w:val="32"/>
          <w:szCs w:val="32"/>
          <w:lang w:val="en-US" w:eastAsia="zh-CN"/>
        </w:rPr>
        <w:t>联系电话：6604334</w:t>
      </w:r>
    </w:p>
    <w:p w14:paraId="698D8D99">
      <w:pPr>
        <w:pStyle w:val="3"/>
        <w:keepNext w:val="0"/>
        <w:keepLines w:val="0"/>
        <w:pageBreakBefore w:val="0"/>
        <w:widowControl/>
        <w:kinsoku/>
        <w:wordWrap/>
        <w:overflowPunct w:val="0"/>
        <w:topLinePunct w:val="0"/>
        <w:autoSpaceDE w:val="0"/>
        <w:autoSpaceDN w:val="0"/>
        <w:bidi w:val="0"/>
        <w:adjustRightInd w:val="0"/>
        <w:snapToGrid w:val="0"/>
        <w:spacing w:line="560" w:lineRule="exact"/>
        <w:ind w:right="0"/>
        <w:jc w:val="both"/>
        <w:textAlignment w:val="baseline"/>
        <w:rPr>
          <w:rFonts w:hint="default" w:ascii="仿宋_GB2312" w:hAnsi="仿宋_GB2312" w:eastAsia="仿宋_GB2312" w:cs="仿宋_GB2312"/>
          <w:spacing w:val="2"/>
          <w:sz w:val="32"/>
          <w:szCs w:val="32"/>
          <w:lang w:val="en-US" w:eastAsia="zh-CN"/>
        </w:rPr>
      </w:pPr>
    </w:p>
    <w:p w14:paraId="3FA82A6D">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1610" w:leftChars="304" w:right="0" w:hanging="972" w:hangingChars="300"/>
        <w:jc w:val="both"/>
        <w:textAlignment w:val="baseline"/>
        <w:rPr>
          <w:rFonts w:hint="default" w:ascii="仿宋_GB2312" w:hAnsi="仿宋_GB2312" w:eastAsia="仿宋_GB2312" w:cs="仿宋_GB2312"/>
          <w:spacing w:val="2"/>
          <w:sz w:val="32"/>
          <w:szCs w:val="32"/>
          <w:lang w:val="en-US" w:eastAsia="zh-CN"/>
        </w:rPr>
      </w:pPr>
      <w:r>
        <w:rPr>
          <w:rFonts w:hint="default" w:ascii="仿宋_GB2312" w:hAnsi="仿宋_GB2312" w:eastAsia="仿宋_GB2312" w:cs="仿宋_GB2312"/>
          <w:spacing w:val="2"/>
          <w:sz w:val="32"/>
          <w:szCs w:val="32"/>
          <w:lang w:val="en-US" w:eastAsia="zh-CN"/>
        </w:rPr>
        <w:t>附件：1.2026河北省消费品以旧换新承办单位申请表 2.2026河北省消费品以旧换新承办单位承诺书</w:t>
      </w:r>
    </w:p>
    <w:p w14:paraId="1484332A">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1620" w:firstLineChars="500"/>
        <w:jc w:val="both"/>
        <w:textAlignment w:val="baseline"/>
        <w:rPr>
          <w:rFonts w:hint="default" w:ascii="仿宋_GB2312" w:hAnsi="仿宋_GB2312" w:eastAsia="仿宋_GB2312" w:cs="仿宋_GB2312"/>
          <w:spacing w:val="2"/>
          <w:sz w:val="32"/>
          <w:szCs w:val="32"/>
          <w:lang w:val="en-US" w:eastAsia="zh-CN"/>
        </w:rPr>
      </w:pPr>
      <w:r>
        <w:rPr>
          <w:rFonts w:hint="default" w:ascii="仿宋_GB2312" w:hAnsi="仿宋_GB2312" w:eastAsia="仿宋_GB2312" w:cs="仿宋_GB2312"/>
          <w:spacing w:val="2"/>
          <w:sz w:val="32"/>
          <w:szCs w:val="32"/>
          <w:lang w:val="en-US" w:eastAsia="zh-CN"/>
        </w:rPr>
        <w:t>3.参加活动承办单位门店申报表</w:t>
      </w:r>
    </w:p>
    <w:p w14:paraId="6B4CD4FC">
      <w:pPr>
        <w:pStyle w:val="3"/>
        <w:keepNext w:val="0"/>
        <w:keepLines w:val="0"/>
        <w:pageBreakBefore w:val="0"/>
        <w:widowControl/>
        <w:kinsoku/>
        <w:wordWrap/>
        <w:overflowPunct w:val="0"/>
        <w:topLinePunct w:val="0"/>
        <w:autoSpaceDE w:val="0"/>
        <w:autoSpaceDN w:val="0"/>
        <w:bidi w:val="0"/>
        <w:adjustRightInd w:val="0"/>
        <w:snapToGrid w:val="0"/>
        <w:spacing w:line="560" w:lineRule="exact"/>
        <w:ind w:left="0" w:right="0" w:firstLine="1620" w:firstLineChars="500"/>
        <w:jc w:val="both"/>
        <w:textAlignment w:val="baseline"/>
        <w:rPr>
          <w:rFonts w:hint="default" w:ascii="仿宋_GB2312" w:hAnsi="仿宋_GB2312" w:eastAsia="仿宋_GB2312" w:cs="仿宋_GB2312"/>
          <w:spacing w:val="2"/>
          <w:sz w:val="32"/>
          <w:szCs w:val="32"/>
          <w:lang w:val="en-US" w:eastAsia="zh-CN"/>
        </w:rPr>
      </w:pPr>
      <w:r>
        <w:rPr>
          <w:rFonts w:hint="default" w:ascii="仿宋_GB2312" w:hAnsi="仿宋_GB2312" w:eastAsia="仿宋_GB2312" w:cs="仿宋_GB2312"/>
          <w:spacing w:val="2"/>
          <w:sz w:val="32"/>
          <w:szCs w:val="32"/>
          <w:lang w:val="en-US" w:eastAsia="zh-CN"/>
        </w:rPr>
        <w:t>4.参加活动商品品类及价格备案表</w:t>
      </w:r>
    </w:p>
    <w:p w14:paraId="3DDF9804">
      <w:pPr>
        <w:pStyle w:val="3"/>
        <w:keepNext w:val="0"/>
        <w:keepLines w:val="0"/>
        <w:pageBreakBefore w:val="0"/>
        <w:widowControl/>
        <w:kinsoku/>
        <w:wordWrap/>
        <w:overflowPunct w:val="0"/>
        <w:topLinePunct w:val="0"/>
        <w:autoSpaceDE w:val="0"/>
        <w:autoSpaceDN w:val="0"/>
        <w:bidi w:val="0"/>
        <w:adjustRightInd w:val="0"/>
        <w:snapToGrid w:val="0"/>
        <w:spacing w:line="560" w:lineRule="exact"/>
        <w:ind w:right="0"/>
        <w:jc w:val="right"/>
        <w:textAlignment w:val="baseline"/>
        <w:rPr>
          <w:rFonts w:hint="eastAsia" w:ascii="仿宋_GB2312" w:hAnsi="仿宋_GB2312" w:eastAsia="仿宋_GB2312" w:cs="仿宋_GB2312"/>
          <w:spacing w:val="2"/>
          <w:sz w:val="32"/>
          <w:szCs w:val="32"/>
          <w:lang w:val="en-US" w:eastAsia="zh-CN"/>
        </w:rPr>
      </w:pPr>
    </w:p>
    <w:p w14:paraId="5C05686F">
      <w:pPr>
        <w:pStyle w:val="3"/>
        <w:keepNext w:val="0"/>
        <w:keepLines w:val="0"/>
        <w:pageBreakBefore w:val="0"/>
        <w:widowControl/>
        <w:kinsoku/>
        <w:wordWrap/>
        <w:overflowPunct w:val="0"/>
        <w:topLinePunct w:val="0"/>
        <w:autoSpaceDE w:val="0"/>
        <w:autoSpaceDN w:val="0"/>
        <w:bidi w:val="0"/>
        <w:adjustRightInd w:val="0"/>
        <w:snapToGrid w:val="0"/>
        <w:spacing w:line="560" w:lineRule="exact"/>
        <w:ind w:right="0"/>
        <w:jc w:val="right"/>
        <w:textAlignment w:val="baseline"/>
        <w:rPr>
          <w:rFonts w:hint="eastAsia" w:ascii="仿宋_GB2312" w:hAnsi="仿宋_GB2312" w:eastAsia="仿宋_GB2312" w:cs="仿宋_GB2312"/>
          <w:spacing w:val="2"/>
          <w:sz w:val="32"/>
          <w:szCs w:val="32"/>
          <w:lang w:val="en-US" w:eastAsia="zh-CN"/>
        </w:rPr>
      </w:pPr>
    </w:p>
    <w:p w14:paraId="5DA3E3F1">
      <w:pPr>
        <w:pStyle w:val="3"/>
        <w:keepNext w:val="0"/>
        <w:keepLines w:val="0"/>
        <w:pageBreakBefore w:val="0"/>
        <w:widowControl/>
        <w:kinsoku/>
        <w:wordWrap/>
        <w:overflowPunct w:val="0"/>
        <w:topLinePunct w:val="0"/>
        <w:autoSpaceDE w:val="0"/>
        <w:autoSpaceDN w:val="0"/>
        <w:bidi w:val="0"/>
        <w:adjustRightInd w:val="0"/>
        <w:snapToGrid w:val="0"/>
        <w:spacing w:line="560" w:lineRule="exact"/>
        <w:ind w:right="0"/>
        <w:jc w:val="right"/>
        <w:textAlignment w:val="baseline"/>
        <w:rPr>
          <w:rFonts w:hint="eastAsia" w:ascii="仿宋_GB2312" w:hAnsi="仿宋_GB2312" w:eastAsia="仿宋_GB2312" w:cs="仿宋_GB2312"/>
          <w:spacing w:val="2"/>
          <w:sz w:val="32"/>
          <w:szCs w:val="32"/>
          <w:lang w:val="en-US" w:eastAsia="zh-CN"/>
        </w:rPr>
      </w:pPr>
    </w:p>
    <w:p w14:paraId="166F1762">
      <w:pPr>
        <w:pStyle w:val="3"/>
        <w:keepNext w:val="0"/>
        <w:keepLines w:val="0"/>
        <w:pageBreakBefore w:val="0"/>
        <w:widowControl/>
        <w:kinsoku/>
        <w:wordWrap/>
        <w:overflowPunct w:val="0"/>
        <w:topLinePunct w:val="0"/>
        <w:autoSpaceDE w:val="0"/>
        <w:autoSpaceDN w:val="0"/>
        <w:bidi w:val="0"/>
        <w:adjustRightInd w:val="0"/>
        <w:snapToGrid w:val="0"/>
        <w:spacing w:line="560" w:lineRule="exact"/>
        <w:ind w:right="0"/>
        <w:jc w:val="center"/>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 xml:space="preserve">                                     高阳县商务局</w:t>
      </w:r>
    </w:p>
    <w:p w14:paraId="75E0D505">
      <w:pPr>
        <w:pStyle w:val="3"/>
        <w:keepNext w:val="0"/>
        <w:keepLines w:val="0"/>
        <w:pageBreakBefore w:val="0"/>
        <w:widowControl/>
        <w:kinsoku/>
        <w:wordWrap/>
        <w:overflowPunct w:val="0"/>
        <w:topLinePunct w:val="0"/>
        <w:autoSpaceDE w:val="0"/>
        <w:autoSpaceDN w:val="0"/>
        <w:bidi w:val="0"/>
        <w:adjustRightInd w:val="0"/>
        <w:snapToGrid w:val="0"/>
        <w:spacing w:line="560" w:lineRule="exact"/>
        <w:ind w:right="0"/>
        <w:jc w:val="right"/>
        <w:textAlignment w:val="baseline"/>
        <w:rPr>
          <w:rFonts w:hint="default"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 xml:space="preserve">  2026年1月23日</w:t>
      </w:r>
    </w:p>
    <w:p w14:paraId="4F5AF10D">
      <w:pPr>
        <w:pStyle w:val="3"/>
        <w:keepNext w:val="0"/>
        <w:keepLines w:val="0"/>
        <w:pageBreakBefore w:val="0"/>
        <w:widowControl/>
        <w:kinsoku/>
        <w:wordWrap/>
        <w:overflowPunct w:val="0"/>
        <w:topLinePunct w:val="0"/>
        <w:autoSpaceDE w:val="0"/>
        <w:autoSpaceDN w:val="0"/>
        <w:bidi w:val="0"/>
        <w:adjustRightInd w:val="0"/>
        <w:snapToGrid w:val="0"/>
        <w:spacing w:line="560" w:lineRule="exact"/>
        <w:ind w:right="0"/>
        <w:jc w:val="both"/>
        <w:textAlignment w:val="baseline"/>
        <w:rPr>
          <w:rFonts w:hint="default" w:ascii="仿宋_GB2312" w:hAnsi="仿宋_GB2312" w:eastAsia="仿宋_GB2312" w:cs="仿宋_GB2312"/>
          <w:spacing w:val="2"/>
          <w:sz w:val="32"/>
          <w:szCs w:val="32"/>
          <w:lang w:val="en-US" w:eastAsia="zh-CN"/>
        </w:rPr>
      </w:pPr>
    </w:p>
    <w:p w14:paraId="3EFDAF8C">
      <w:pPr>
        <w:pStyle w:val="3"/>
        <w:keepNext w:val="0"/>
        <w:keepLines w:val="0"/>
        <w:pageBreakBefore w:val="0"/>
        <w:widowControl/>
        <w:kinsoku/>
        <w:wordWrap/>
        <w:overflowPunct w:val="0"/>
        <w:topLinePunct w:val="0"/>
        <w:autoSpaceDE w:val="0"/>
        <w:autoSpaceDN w:val="0"/>
        <w:bidi w:val="0"/>
        <w:adjustRightInd w:val="0"/>
        <w:snapToGrid w:val="0"/>
        <w:spacing w:line="560" w:lineRule="exact"/>
        <w:ind w:right="0"/>
        <w:jc w:val="both"/>
        <w:textAlignment w:val="baseline"/>
        <w:rPr>
          <w:rFonts w:hint="default" w:ascii="仿宋_GB2312" w:hAnsi="仿宋_GB2312" w:eastAsia="仿宋_GB2312" w:cs="仿宋_GB2312"/>
          <w:spacing w:val="2"/>
          <w:sz w:val="32"/>
          <w:szCs w:val="32"/>
          <w:lang w:val="en-US" w:eastAsia="zh-CN"/>
        </w:rPr>
      </w:pPr>
    </w:p>
    <w:p w14:paraId="59B40E20">
      <w:pPr>
        <w:pStyle w:val="3"/>
        <w:keepNext w:val="0"/>
        <w:keepLines w:val="0"/>
        <w:pageBreakBefore w:val="0"/>
        <w:widowControl/>
        <w:kinsoku/>
        <w:wordWrap/>
        <w:overflowPunct w:val="0"/>
        <w:topLinePunct w:val="0"/>
        <w:autoSpaceDE w:val="0"/>
        <w:autoSpaceDN w:val="0"/>
        <w:bidi w:val="0"/>
        <w:adjustRightInd w:val="0"/>
        <w:snapToGrid w:val="0"/>
        <w:spacing w:line="560" w:lineRule="exact"/>
        <w:ind w:right="0"/>
        <w:jc w:val="both"/>
        <w:textAlignment w:val="baseline"/>
        <w:rPr>
          <w:rFonts w:hint="default" w:ascii="仿宋_GB2312" w:hAnsi="仿宋_GB2312" w:eastAsia="仿宋_GB2312" w:cs="仿宋_GB2312"/>
          <w:spacing w:val="2"/>
          <w:sz w:val="32"/>
          <w:szCs w:val="32"/>
          <w:lang w:val="en-US" w:eastAsia="zh-CN"/>
        </w:rPr>
      </w:pPr>
    </w:p>
    <w:p w14:paraId="1C30DCE9">
      <w:pPr>
        <w:pStyle w:val="3"/>
        <w:keepNext w:val="0"/>
        <w:keepLines w:val="0"/>
        <w:pageBreakBefore w:val="0"/>
        <w:widowControl/>
        <w:kinsoku/>
        <w:wordWrap/>
        <w:overflowPunct w:val="0"/>
        <w:topLinePunct w:val="0"/>
        <w:autoSpaceDE w:val="0"/>
        <w:autoSpaceDN w:val="0"/>
        <w:bidi w:val="0"/>
        <w:adjustRightInd w:val="0"/>
        <w:snapToGrid w:val="0"/>
        <w:spacing w:line="560" w:lineRule="exact"/>
        <w:ind w:right="0"/>
        <w:jc w:val="both"/>
        <w:textAlignment w:val="baseline"/>
        <w:rPr>
          <w:rFonts w:hint="default" w:ascii="仿宋_GB2312" w:hAnsi="仿宋_GB2312" w:eastAsia="仿宋_GB2312" w:cs="仿宋_GB2312"/>
          <w:spacing w:val="2"/>
          <w:sz w:val="32"/>
          <w:szCs w:val="32"/>
          <w:lang w:val="en-US" w:eastAsia="zh-CN"/>
        </w:rPr>
      </w:pPr>
    </w:p>
    <w:p w14:paraId="604DDF95">
      <w:pPr>
        <w:pStyle w:val="3"/>
        <w:keepNext w:val="0"/>
        <w:keepLines w:val="0"/>
        <w:pageBreakBefore w:val="0"/>
        <w:widowControl/>
        <w:kinsoku/>
        <w:wordWrap/>
        <w:overflowPunct w:val="0"/>
        <w:topLinePunct w:val="0"/>
        <w:autoSpaceDE w:val="0"/>
        <w:autoSpaceDN w:val="0"/>
        <w:bidi w:val="0"/>
        <w:adjustRightInd w:val="0"/>
        <w:snapToGrid w:val="0"/>
        <w:spacing w:line="560" w:lineRule="exact"/>
        <w:ind w:right="0"/>
        <w:jc w:val="both"/>
        <w:textAlignment w:val="baseline"/>
        <w:rPr>
          <w:rFonts w:hint="default" w:ascii="仿宋_GB2312" w:hAnsi="仿宋_GB2312" w:eastAsia="仿宋_GB2312" w:cs="仿宋_GB2312"/>
          <w:spacing w:val="2"/>
          <w:sz w:val="32"/>
          <w:szCs w:val="32"/>
          <w:lang w:val="en-US" w:eastAsia="zh-CN"/>
        </w:rPr>
      </w:pPr>
    </w:p>
    <w:p w14:paraId="320439AE">
      <w:pPr>
        <w:pStyle w:val="3"/>
        <w:keepNext w:val="0"/>
        <w:keepLines w:val="0"/>
        <w:pageBreakBefore w:val="0"/>
        <w:widowControl/>
        <w:kinsoku/>
        <w:wordWrap/>
        <w:overflowPunct w:val="0"/>
        <w:topLinePunct w:val="0"/>
        <w:autoSpaceDE w:val="0"/>
        <w:autoSpaceDN w:val="0"/>
        <w:bidi w:val="0"/>
        <w:adjustRightInd w:val="0"/>
        <w:snapToGrid w:val="0"/>
        <w:spacing w:line="560" w:lineRule="exact"/>
        <w:ind w:right="0"/>
        <w:jc w:val="both"/>
        <w:textAlignment w:val="baseline"/>
        <w:rPr>
          <w:rFonts w:hint="default" w:ascii="仿宋_GB2312" w:hAnsi="仿宋_GB2312" w:eastAsia="仿宋_GB2312" w:cs="仿宋_GB2312"/>
          <w:spacing w:val="2"/>
          <w:sz w:val="32"/>
          <w:szCs w:val="32"/>
          <w:lang w:val="en-US" w:eastAsia="zh-CN"/>
        </w:rPr>
      </w:pPr>
    </w:p>
    <w:p w14:paraId="5075B245">
      <w:pPr>
        <w:pStyle w:val="3"/>
        <w:keepNext w:val="0"/>
        <w:keepLines w:val="0"/>
        <w:pageBreakBefore w:val="0"/>
        <w:widowControl/>
        <w:kinsoku/>
        <w:wordWrap/>
        <w:overflowPunct w:val="0"/>
        <w:topLinePunct w:val="0"/>
        <w:autoSpaceDE w:val="0"/>
        <w:autoSpaceDN w:val="0"/>
        <w:bidi w:val="0"/>
        <w:adjustRightInd w:val="0"/>
        <w:snapToGrid w:val="0"/>
        <w:spacing w:line="560" w:lineRule="exact"/>
        <w:ind w:right="0"/>
        <w:jc w:val="both"/>
        <w:textAlignment w:val="baseline"/>
        <w:rPr>
          <w:rFonts w:hint="default" w:ascii="仿宋_GB2312" w:hAnsi="仿宋_GB2312" w:eastAsia="仿宋_GB2312" w:cs="仿宋_GB2312"/>
          <w:spacing w:val="2"/>
          <w:sz w:val="32"/>
          <w:szCs w:val="32"/>
          <w:lang w:val="en-US" w:eastAsia="zh-CN"/>
        </w:rPr>
      </w:pPr>
    </w:p>
    <w:p w14:paraId="10EAC912">
      <w:pPr>
        <w:pStyle w:val="3"/>
        <w:keepNext w:val="0"/>
        <w:keepLines w:val="0"/>
        <w:pageBreakBefore w:val="0"/>
        <w:widowControl/>
        <w:kinsoku/>
        <w:wordWrap/>
        <w:overflowPunct w:val="0"/>
        <w:topLinePunct w:val="0"/>
        <w:autoSpaceDE w:val="0"/>
        <w:autoSpaceDN w:val="0"/>
        <w:bidi w:val="0"/>
        <w:adjustRightInd w:val="0"/>
        <w:snapToGrid w:val="0"/>
        <w:spacing w:line="560" w:lineRule="exact"/>
        <w:ind w:right="0"/>
        <w:jc w:val="both"/>
        <w:textAlignment w:val="baseline"/>
        <w:rPr>
          <w:rFonts w:hint="default" w:ascii="仿宋_GB2312" w:hAnsi="仿宋_GB2312" w:eastAsia="仿宋_GB2312" w:cs="仿宋_GB2312"/>
          <w:spacing w:val="2"/>
          <w:sz w:val="32"/>
          <w:szCs w:val="32"/>
          <w:lang w:val="en-US" w:eastAsia="zh-CN"/>
        </w:rPr>
      </w:pPr>
    </w:p>
    <w:p w14:paraId="309BCFC8">
      <w:pPr>
        <w:pStyle w:val="3"/>
        <w:keepNext w:val="0"/>
        <w:keepLines w:val="0"/>
        <w:pageBreakBefore w:val="0"/>
        <w:widowControl/>
        <w:kinsoku/>
        <w:wordWrap/>
        <w:overflowPunct w:val="0"/>
        <w:topLinePunct w:val="0"/>
        <w:autoSpaceDE w:val="0"/>
        <w:autoSpaceDN w:val="0"/>
        <w:bidi w:val="0"/>
        <w:adjustRightInd w:val="0"/>
        <w:snapToGrid w:val="0"/>
        <w:spacing w:line="560" w:lineRule="exact"/>
        <w:ind w:right="0"/>
        <w:jc w:val="both"/>
        <w:textAlignment w:val="baseline"/>
        <w:rPr>
          <w:rFonts w:hint="default" w:ascii="仿宋_GB2312" w:hAnsi="仿宋_GB2312" w:eastAsia="仿宋_GB2312" w:cs="仿宋_GB2312"/>
          <w:spacing w:val="2"/>
          <w:sz w:val="32"/>
          <w:szCs w:val="32"/>
          <w:lang w:val="en-US" w:eastAsia="zh-CN"/>
        </w:rPr>
      </w:pPr>
    </w:p>
    <w:p w14:paraId="1FDC8747">
      <w:pPr>
        <w:pStyle w:val="3"/>
        <w:keepNext w:val="0"/>
        <w:keepLines w:val="0"/>
        <w:pageBreakBefore w:val="0"/>
        <w:widowControl/>
        <w:kinsoku/>
        <w:wordWrap/>
        <w:overflowPunct w:val="0"/>
        <w:topLinePunct w:val="0"/>
        <w:autoSpaceDE w:val="0"/>
        <w:autoSpaceDN w:val="0"/>
        <w:bidi w:val="0"/>
        <w:adjustRightInd w:val="0"/>
        <w:snapToGrid w:val="0"/>
        <w:spacing w:line="560" w:lineRule="exact"/>
        <w:ind w:right="0"/>
        <w:jc w:val="both"/>
        <w:textAlignment w:val="baseline"/>
        <w:rPr>
          <w:rFonts w:hint="default" w:ascii="仿宋_GB2312" w:hAnsi="仿宋_GB2312" w:eastAsia="仿宋_GB2312" w:cs="仿宋_GB2312"/>
          <w:spacing w:val="2"/>
          <w:sz w:val="32"/>
          <w:szCs w:val="32"/>
          <w:lang w:val="en-US" w:eastAsia="zh-CN"/>
        </w:rPr>
      </w:pPr>
    </w:p>
    <w:p w14:paraId="7C3ED45A">
      <w:pPr>
        <w:pStyle w:val="3"/>
        <w:keepNext w:val="0"/>
        <w:keepLines w:val="0"/>
        <w:pageBreakBefore w:val="0"/>
        <w:widowControl w:val="0"/>
        <w:kinsoku/>
        <w:wordWrap/>
        <w:overflowPunct/>
        <w:topLinePunct w:val="0"/>
        <w:autoSpaceDE w:val="0"/>
        <w:autoSpaceDN w:val="0"/>
        <w:bidi w:val="0"/>
        <w:adjustRightInd/>
        <w:snapToGrid/>
        <w:spacing w:before="31" w:line="560" w:lineRule="exact"/>
        <w:textAlignment w:val="auto"/>
        <w:rPr>
          <w:rFonts w:hint="eastAsia" w:ascii="黑体" w:eastAsia="黑体"/>
        </w:rPr>
      </w:pPr>
    </w:p>
    <w:p w14:paraId="128334E2">
      <w:pPr>
        <w:pStyle w:val="3"/>
        <w:keepNext w:val="0"/>
        <w:keepLines w:val="0"/>
        <w:pageBreakBefore w:val="0"/>
        <w:widowControl w:val="0"/>
        <w:kinsoku/>
        <w:wordWrap/>
        <w:overflowPunct/>
        <w:topLinePunct w:val="0"/>
        <w:autoSpaceDE w:val="0"/>
        <w:autoSpaceDN w:val="0"/>
        <w:bidi w:val="0"/>
        <w:adjustRightInd/>
        <w:snapToGrid/>
        <w:spacing w:before="31" w:line="560" w:lineRule="exact"/>
        <w:textAlignment w:val="auto"/>
        <w:rPr>
          <w:rFonts w:hint="eastAsia" w:ascii="黑体" w:eastAsia="黑体"/>
          <w:lang w:eastAsia="zh-CN"/>
        </w:rPr>
      </w:pPr>
      <w:r>
        <w:rPr>
          <w:rFonts w:hint="eastAsia" w:ascii="黑体" w:eastAsia="黑体"/>
        </w:rPr>
        <w:t>附件</w:t>
      </w:r>
      <w:r>
        <w:rPr>
          <w:rFonts w:hint="eastAsia" w:ascii="黑体" w:eastAsia="黑体"/>
          <w:lang w:val="en-US" w:eastAsia="zh-CN"/>
        </w:rPr>
        <w:t>1</w:t>
      </w:r>
    </w:p>
    <w:p w14:paraId="4528A180">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jc w:val="right"/>
        <w:textAlignment w:val="auto"/>
        <w:rPr>
          <w:rFonts w:hint="eastAsia" w:ascii="方正小标宋简体" w:hAnsi="方正小标宋简体" w:eastAsia="方正小标宋简体" w:cs="方正小标宋简体"/>
          <w:sz w:val="39"/>
        </w:rPr>
      </w:pPr>
      <w:r>
        <w:rPr>
          <w:rFonts w:hint="eastAsia" w:ascii="方正小标宋简体" w:hAnsi="方正小标宋简体" w:eastAsia="方正小标宋简体" w:cs="方正小标宋简体"/>
          <w:sz w:val="39"/>
        </w:rPr>
        <w:t>2026河北省消费品以旧换新承办单位申请表</w:t>
      </w:r>
    </w:p>
    <w:p w14:paraId="61CA171A">
      <w:pPr>
        <w:keepNext w:val="0"/>
        <w:keepLines w:val="0"/>
        <w:pageBreakBefore w:val="0"/>
        <w:widowControl w:val="0"/>
        <w:tabs>
          <w:tab w:val="left" w:pos="7292"/>
          <w:tab w:val="left" w:pos="7854"/>
          <w:tab w:val="left" w:pos="8411"/>
        </w:tabs>
        <w:kinsoku/>
        <w:wordWrap/>
        <w:overflowPunct/>
        <w:topLinePunct w:val="0"/>
        <w:autoSpaceDE w:val="0"/>
        <w:autoSpaceDN w:val="0"/>
        <w:bidi w:val="0"/>
        <w:adjustRightInd/>
        <w:snapToGrid/>
        <w:spacing w:before="0" w:after="0" w:line="560" w:lineRule="exact"/>
        <w:ind w:right="0"/>
        <w:jc w:val="right"/>
        <w:textAlignment w:val="auto"/>
        <w:rPr>
          <w:rFonts w:hint="eastAsia" w:ascii="宋体" w:hAnsi="宋体" w:eastAsia="宋体" w:cs="宋体"/>
          <w:sz w:val="24"/>
          <w:szCs w:val="24"/>
        </w:rPr>
      </w:pPr>
      <w:r>
        <w:rPr>
          <w:rFonts w:hint="eastAsia" w:ascii="宋体" w:hAnsi="宋体" w:eastAsia="宋体" w:cs="宋体"/>
          <w:sz w:val="24"/>
          <w:szCs w:val="24"/>
        </w:rPr>
        <w:t>填</w:t>
      </w:r>
      <w:r>
        <w:rPr>
          <w:rFonts w:hint="eastAsia" w:ascii="宋体" w:hAnsi="宋体" w:eastAsia="宋体" w:cs="宋体"/>
          <w:spacing w:val="4"/>
          <w:sz w:val="24"/>
          <w:szCs w:val="24"/>
        </w:rPr>
        <w:t>报</w:t>
      </w: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tbl>
      <w:tblPr>
        <w:tblStyle w:val="5"/>
        <w:tblW w:w="8819"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9"/>
        <w:gridCol w:w="3082"/>
        <w:gridCol w:w="1911"/>
        <w:gridCol w:w="2007"/>
      </w:tblGrid>
      <w:tr w14:paraId="6610D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819" w:type="dxa"/>
            <w:noWrap w:val="0"/>
            <w:vAlign w:val="center"/>
          </w:tcPr>
          <w:p w14:paraId="514FAD0C">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单位名称</w:t>
            </w:r>
          </w:p>
        </w:tc>
        <w:tc>
          <w:tcPr>
            <w:tcW w:w="7000" w:type="dxa"/>
            <w:gridSpan w:val="3"/>
            <w:noWrap w:val="0"/>
            <w:vAlign w:val="center"/>
          </w:tcPr>
          <w:p w14:paraId="1C2332CD">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jc w:val="center"/>
              <w:textAlignment w:val="auto"/>
              <w:rPr>
                <w:rFonts w:hint="eastAsia" w:ascii="宋体" w:hAnsi="宋体" w:eastAsia="宋体" w:cs="宋体"/>
                <w:sz w:val="24"/>
                <w:szCs w:val="24"/>
              </w:rPr>
            </w:pPr>
          </w:p>
        </w:tc>
      </w:tr>
      <w:tr w14:paraId="7B5B8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1819" w:type="dxa"/>
            <w:noWrap w:val="0"/>
            <w:vAlign w:val="center"/>
          </w:tcPr>
          <w:p w14:paraId="0412D8C4">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7000" w:type="dxa"/>
            <w:gridSpan w:val="3"/>
            <w:noWrap w:val="0"/>
            <w:vAlign w:val="center"/>
          </w:tcPr>
          <w:p w14:paraId="42F6E909">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jc w:val="center"/>
              <w:textAlignment w:val="auto"/>
              <w:rPr>
                <w:rFonts w:hint="eastAsia" w:ascii="宋体" w:hAnsi="宋体" w:eastAsia="宋体" w:cs="宋体"/>
                <w:sz w:val="24"/>
                <w:szCs w:val="24"/>
              </w:rPr>
            </w:pPr>
          </w:p>
        </w:tc>
      </w:tr>
      <w:tr w14:paraId="16751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1819" w:type="dxa"/>
            <w:noWrap w:val="0"/>
            <w:vAlign w:val="center"/>
          </w:tcPr>
          <w:p w14:paraId="4CF549A1">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w w:val="95"/>
                <w:sz w:val="24"/>
                <w:szCs w:val="24"/>
              </w:rPr>
              <w:t>单位经营地址</w:t>
            </w:r>
          </w:p>
        </w:tc>
        <w:tc>
          <w:tcPr>
            <w:tcW w:w="7000" w:type="dxa"/>
            <w:gridSpan w:val="3"/>
            <w:noWrap w:val="0"/>
            <w:vAlign w:val="center"/>
          </w:tcPr>
          <w:p w14:paraId="4B14E78C">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（具体的门牌号；是否与注册地址不一致、原因；是否一店 多体、多体经营的证照）</w:t>
            </w:r>
          </w:p>
        </w:tc>
      </w:tr>
      <w:tr w14:paraId="7F044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819" w:type="dxa"/>
            <w:noWrap w:val="0"/>
            <w:vAlign w:val="center"/>
          </w:tcPr>
          <w:p w14:paraId="39E1F4A1">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w w:val="95"/>
                <w:sz w:val="24"/>
                <w:szCs w:val="24"/>
              </w:rPr>
              <w:t>注册地址</w:t>
            </w:r>
          </w:p>
        </w:tc>
        <w:tc>
          <w:tcPr>
            <w:tcW w:w="7000" w:type="dxa"/>
            <w:gridSpan w:val="3"/>
            <w:noWrap w:val="0"/>
            <w:vAlign w:val="center"/>
          </w:tcPr>
          <w:p w14:paraId="2BC6113C">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具体到门牌号</w:t>
            </w:r>
            <w:r>
              <w:rPr>
                <w:rFonts w:hint="eastAsia" w:ascii="宋体" w:hAnsi="宋体" w:eastAsia="宋体" w:cs="宋体"/>
                <w:sz w:val="24"/>
                <w:szCs w:val="24"/>
                <w:lang w:eastAsia="zh-CN"/>
              </w:rPr>
              <w:t>）</w:t>
            </w:r>
          </w:p>
        </w:tc>
      </w:tr>
      <w:tr w14:paraId="686A7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819" w:type="dxa"/>
            <w:noWrap w:val="0"/>
            <w:vAlign w:val="center"/>
          </w:tcPr>
          <w:p w14:paraId="3CD00466">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w w:val="95"/>
                <w:sz w:val="24"/>
                <w:szCs w:val="24"/>
              </w:rPr>
              <w:t>单位经营范围</w:t>
            </w:r>
          </w:p>
        </w:tc>
        <w:tc>
          <w:tcPr>
            <w:tcW w:w="7000" w:type="dxa"/>
            <w:gridSpan w:val="3"/>
            <w:noWrap w:val="0"/>
            <w:vAlign w:val="center"/>
          </w:tcPr>
          <w:p w14:paraId="7FCEB8F3">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r>
      <w:tr w14:paraId="74136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819" w:type="dxa"/>
            <w:noWrap w:val="0"/>
            <w:vAlign w:val="center"/>
          </w:tcPr>
          <w:p w14:paraId="39504005">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w w:val="95"/>
                <w:sz w:val="24"/>
                <w:szCs w:val="24"/>
              </w:rPr>
              <w:t>申请参加活动</w:t>
            </w:r>
          </w:p>
        </w:tc>
        <w:tc>
          <w:tcPr>
            <w:tcW w:w="7000" w:type="dxa"/>
            <w:gridSpan w:val="3"/>
            <w:noWrap w:val="0"/>
            <w:vAlign w:val="center"/>
          </w:tcPr>
          <w:p w14:paraId="161303E9">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家电/数码</w:t>
            </w:r>
          </w:p>
        </w:tc>
      </w:tr>
      <w:tr w14:paraId="4F9FF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819" w:type="dxa"/>
            <w:noWrap w:val="0"/>
            <w:vAlign w:val="center"/>
          </w:tcPr>
          <w:p w14:paraId="03B059E4">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tc>
        <w:tc>
          <w:tcPr>
            <w:tcW w:w="3082" w:type="dxa"/>
            <w:noWrap w:val="0"/>
            <w:vAlign w:val="center"/>
          </w:tcPr>
          <w:p w14:paraId="5A7FB03B">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911" w:type="dxa"/>
            <w:noWrap w:val="0"/>
            <w:vAlign w:val="center"/>
          </w:tcPr>
          <w:p w14:paraId="3C1C218F">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联系电话/手机</w:t>
            </w:r>
          </w:p>
        </w:tc>
        <w:tc>
          <w:tcPr>
            <w:tcW w:w="2007" w:type="dxa"/>
            <w:noWrap w:val="0"/>
            <w:vAlign w:val="center"/>
          </w:tcPr>
          <w:p w14:paraId="05C2611D">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r>
      <w:tr w14:paraId="59B76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819" w:type="dxa"/>
            <w:noWrap w:val="0"/>
            <w:vAlign w:val="center"/>
          </w:tcPr>
          <w:p w14:paraId="54532329">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联系人姓名</w:t>
            </w:r>
          </w:p>
        </w:tc>
        <w:tc>
          <w:tcPr>
            <w:tcW w:w="3082" w:type="dxa"/>
            <w:noWrap w:val="0"/>
            <w:vAlign w:val="center"/>
          </w:tcPr>
          <w:p w14:paraId="7732C462">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911" w:type="dxa"/>
            <w:noWrap w:val="0"/>
            <w:vAlign w:val="center"/>
          </w:tcPr>
          <w:p w14:paraId="603BCC34">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联系电话/手机</w:t>
            </w:r>
          </w:p>
        </w:tc>
        <w:tc>
          <w:tcPr>
            <w:tcW w:w="2007" w:type="dxa"/>
            <w:noWrap w:val="0"/>
            <w:vAlign w:val="center"/>
          </w:tcPr>
          <w:p w14:paraId="45A96734">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r>
      <w:tr w14:paraId="724DB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0" w:hRule="atLeast"/>
        </w:trPr>
        <w:tc>
          <w:tcPr>
            <w:tcW w:w="1819" w:type="dxa"/>
            <w:noWrap w:val="0"/>
            <w:vAlign w:val="center"/>
          </w:tcPr>
          <w:p w14:paraId="2D30A723">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单位结算对</w:t>
            </w:r>
          </w:p>
          <w:p w14:paraId="528A56EB">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公账户账号</w:t>
            </w:r>
          </w:p>
        </w:tc>
        <w:tc>
          <w:tcPr>
            <w:tcW w:w="7000" w:type="dxa"/>
            <w:gridSpan w:val="3"/>
            <w:noWrap w:val="0"/>
            <w:vAlign w:val="top"/>
          </w:tcPr>
          <w:p w14:paraId="7B248403">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both"/>
              <w:textAlignment w:val="auto"/>
              <w:rPr>
                <w:rFonts w:hint="eastAsia" w:ascii="宋体" w:hAnsi="宋体" w:eastAsia="宋体" w:cs="宋体"/>
                <w:sz w:val="24"/>
                <w:szCs w:val="24"/>
              </w:rPr>
            </w:pPr>
            <w:r>
              <w:rPr>
                <w:rFonts w:hint="eastAsia" w:ascii="宋体" w:hAnsi="宋体" w:eastAsia="宋体" w:cs="宋体"/>
                <w:sz w:val="24"/>
                <w:szCs w:val="24"/>
              </w:rPr>
              <w:t>开户银行名称：</w:t>
            </w:r>
          </w:p>
          <w:p w14:paraId="70F1CF39">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both"/>
              <w:textAlignment w:val="auto"/>
              <w:rPr>
                <w:rFonts w:hint="eastAsia" w:ascii="宋体" w:hAnsi="宋体" w:eastAsia="宋体" w:cs="宋体"/>
                <w:sz w:val="24"/>
                <w:szCs w:val="24"/>
              </w:rPr>
            </w:pPr>
            <w:r>
              <w:rPr>
                <w:rFonts w:hint="eastAsia" w:ascii="宋体" w:hAnsi="宋体" w:eastAsia="宋体" w:cs="宋体"/>
                <w:sz w:val="24"/>
                <w:szCs w:val="24"/>
              </w:rPr>
              <w:t>银行行号：</w:t>
            </w:r>
          </w:p>
          <w:p w14:paraId="30D0AA72">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both"/>
              <w:textAlignment w:val="auto"/>
              <w:rPr>
                <w:rFonts w:hint="eastAsia" w:ascii="宋体" w:hAnsi="宋体" w:eastAsia="宋体" w:cs="宋体"/>
                <w:sz w:val="24"/>
                <w:szCs w:val="24"/>
              </w:rPr>
            </w:pPr>
            <w:r>
              <w:rPr>
                <w:rFonts w:hint="eastAsia" w:ascii="宋体" w:hAnsi="宋体" w:eastAsia="宋体" w:cs="宋体"/>
                <w:sz w:val="24"/>
                <w:szCs w:val="24"/>
              </w:rPr>
              <w:t>银行账号：</w:t>
            </w:r>
          </w:p>
          <w:p w14:paraId="4AE3246C">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both"/>
              <w:textAlignment w:val="auto"/>
              <w:rPr>
                <w:rFonts w:hint="eastAsia" w:ascii="宋体" w:hAnsi="宋体" w:eastAsia="宋体" w:cs="宋体"/>
                <w:sz w:val="24"/>
                <w:szCs w:val="24"/>
              </w:rPr>
            </w:pPr>
            <w:r>
              <w:rPr>
                <w:rFonts w:hint="eastAsia" w:ascii="宋体" w:hAnsi="宋体" w:eastAsia="宋体" w:cs="宋体"/>
                <w:sz w:val="24"/>
                <w:szCs w:val="24"/>
              </w:rPr>
              <w:t>申请备案后，无特殊原因，不得更改</w:t>
            </w:r>
          </w:p>
        </w:tc>
      </w:tr>
      <w:tr w14:paraId="43C44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819" w:type="dxa"/>
            <w:noWrap w:val="0"/>
            <w:vAlign w:val="center"/>
          </w:tcPr>
          <w:p w14:paraId="53B4D0CF">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单位意见</w:t>
            </w:r>
          </w:p>
        </w:tc>
        <w:tc>
          <w:tcPr>
            <w:tcW w:w="7000" w:type="dxa"/>
            <w:gridSpan w:val="3"/>
            <w:noWrap w:val="0"/>
            <w:vAlign w:val="top"/>
          </w:tcPr>
          <w:p w14:paraId="0CD94A65">
            <w:pPr>
              <w:pStyle w:val="7"/>
              <w:keepNext w:val="0"/>
              <w:keepLines w:val="0"/>
              <w:pageBreakBefore w:val="0"/>
              <w:widowControl w:val="0"/>
              <w:tabs>
                <w:tab w:val="left" w:pos="5626"/>
                <w:tab w:val="left" w:pos="6188"/>
              </w:tabs>
              <w:kinsoku/>
              <w:wordWrap/>
              <w:overflowPunct/>
              <w:topLinePunct w:val="0"/>
              <w:autoSpaceDE w:val="0"/>
              <w:autoSpaceDN w:val="0"/>
              <w:bidi w:val="0"/>
              <w:adjustRightInd/>
              <w:snapToGrid/>
              <w:spacing w:before="0" w:line="240" w:lineRule="auto"/>
              <w:ind w:left="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本单位已真实了解</w:t>
            </w:r>
            <w:r>
              <w:rPr>
                <w:rFonts w:hint="eastAsia" w:ascii="宋体" w:hAnsi="宋体" w:eastAsia="宋体" w:cs="宋体"/>
                <w:b/>
                <w:bCs/>
                <w:sz w:val="24"/>
                <w:szCs w:val="24"/>
                <w:lang w:val="en-US" w:eastAsia="zh-CN"/>
              </w:rPr>
              <w:t>2026年河北省家电以旧换新、数码和智能产品购新补贴工作各项要求，自愿申请承办单位资质。</w:t>
            </w:r>
          </w:p>
          <w:p w14:paraId="5CBDD3AD">
            <w:pPr>
              <w:pStyle w:val="7"/>
              <w:keepNext w:val="0"/>
              <w:keepLines w:val="0"/>
              <w:pageBreakBefore w:val="0"/>
              <w:widowControl w:val="0"/>
              <w:tabs>
                <w:tab w:val="left" w:pos="5626"/>
                <w:tab w:val="left" w:pos="6188"/>
              </w:tabs>
              <w:kinsoku/>
              <w:wordWrap/>
              <w:overflowPunct/>
              <w:topLinePunct w:val="0"/>
              <w:autoSpaceDE w:val="0"/>
              <w:autoSpaceDN w:val="0"/>
              <w:bidi w:val="0"/>
              <w:adjustRightInd/>
              <w:snapToGrid/>
              <w:spacing w:before="0" w:line="560" w:lineRule="exact"/>
              <w:ind w:firstLine="3855" w:firstLineChars="16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单位负责人签字：</w:t>
            </w:r>
          </w:p>
          <w:p w14:paraId="716655E1">
            <w:pPr>
              <w:pStyle w:val="7"/>
              <w:keepNext w:val="0"/>
              <w:keepLines w:val="0"/>
              <w:pageBreakBefore w:val="0"/>
              <w:widowControl w:val="0"/>
              <w:tabs>
                <w:tab w:val="left" w:pos="5626"/>
                <w:tab w:val="left" w:pos="6188"/>
              </w:tabs>
              <w:kinsoku/>
              <w:wordWrap/>
              <w:overflowPunct/>
              <w:topLinePunct w:val="0"/>
              <w:autoSpaceDE w:val="0"/>
              <w:autoSpaceDN w:val="0"/>
              <w:bidi w:val="0"/>
              <w:adjustRightInd/>
              <w:snapToGrid/>
              <w:spacing w:before="0" w:line="560" w:lineRule="exact"/>
              <w:ind w:firstLine="3373" w:firstLineChars="1400"/>
              <w:jc w:val="righ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（公章）</w:t>
            </w:r>
          </w:p>
          <w:p w14:paraId="75E134CA">
            <w:pPr>
              <w:pStyle w:val="7"/>
              <w:keepNext w:val="0"/>
              <w:keepLines w:val="0"/>
              <w:pageBreakBefore w:val="0"/>
              <w:widowControl w:val="0"/>
              <w:tabs>
                <w:tab w:val="left" w:pos="5626"/>
                <w:tab w:val="left" w:pos="6188"/>
              </w:tabs>
              <w:kinsoku/>
              <w:wordWrap/>
              <w:overflowPunct/>
              <w:topLinePunct w:val="0"/>
              <w:autoSpaceDE w:val="0"/>
              <w:autoSpaceDN w:val="0"/>
              <w:bidi w:val="0"/>
              <w:adjustRightInd/>
              <w:snapToGrid/>
              <w:spacing w:before="0" w:line="560" w:lineRule="exact"/>
              <w:ind w:firstLine="3373" w:firstLineChars="1400"/>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年    月    日</w:t>
            </w:r>
          </w:p>
        </w:tc>
      </w:tr>
      <w:tr w14:paraId="334CD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819" w:type="dxa"/>
            <w:noWrap w:val="0"/>
            <w:vAlign w:val="center"/>
          </w:tcPr>
          <w:p w14:paraId="0493EFF4">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县（市、区）商务部门审核意见</w:t>
            </w:r>
          </w:p>
        </w:tc>
        <w:tc>
          <w:tcPr>
            <w:tcW w:w="7000" w:type="dxa"/>
            <w:gridSpan w:val="3"/>
            <w:noWrap w:val="0"/>
            <w:vAlign w:val="top"/>
          </w:tcPr>
          <w:p w14:paraId="0985ADE9">
            <w:pPr>
              <w:pStyle w:val="7"/>
              <w:keepNext w:val="0"/>
              <w:keepLines w:val="0"/>
              <w:pageBreakBefore w:val="0"/>
              <w:widowControl w:val="0"/>
              <w:tabs>
                <w:tab w:val="left" w:pos="5626"/>
                <w:tab w:val="left" w:pos="6188"/>
              </w:tabs>
              <w:kinsoku/>
              <w:wordWrap/>
              <w:overflowPunct/>
              <w:topLinePunct w:val="0"/>
              <w:autoSpaceDE w:val="0"/>
              <w:autoSpaceDN w:val="0"/>
              <w:bidi w:val="0"/>
              <w:adjustRightInd/>
              <w:snapToGrid/>
              <w:spacing w:before="0" w:line="560" w:lineRule="exact"/>
              <w:ind w:firstLine="3360" w:firstLineChars="14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签字：</w:t>
            </w:r>
          </w:p>
          <w:p w14:paraId="37058200">
            <w:pPr>
              <w:pStyle w:val="7"/>
              <w:keepNext w:val="0"/>
              <w:keepLines w:val="0"/>
              <w:pageBreakBefore w:val="0"/>
              <w:widowControl w:val="0"/>
              <w:tabs>
                <w:tab w:val="left" w:pos="5626"/>
                <w:tab w:val="left" w:pos="6188"/>
              </w:tabs>
              <w:kinsoku/>
              <w:wordWrap/>
              <w:overflowPunct/>
              <w:topLinePunct w:val="0"/>
              <w:autoSpaceDE w:val="0"/>
              <w:autoSpaceDN w:val="0"/>
              <w:bidi w:val="0"/>
              <w:adjustRightInd/>
              <w:snapToGrid/>
              <w:spacing w:before="0" w:line="560" w:lineRule="exact"/>
              <w:ind w:firstLine="3360" w:firstLineChars="14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（公章）</w:t>
            </w:r>
          </w:p>
          <w:p w14:paraId="2CEAE551">
            <w:pPr>
              <w:pStyle w:val="7"/>
              <w:keepNext w:val="0"/>
              <w:keepLines w:val="0"/>
              <w:pageBreakBefore w:val="0"/>
              <w:widowControl w:val="0"/>
              <w:tabs>
                <w:tab w:val="left" w:pos="5626"/>
                <w:tab w:val="left" w:pos="6188"/>
              </w:tabs>
              <w:kinsoku/>
              <w:wordWrap/>
              <w:overflowPunct/>
              <w:topLinePunct w:val="0"/>
              <w:autoSpaceDE w:val="0"/>
              <w:autoSpaceDN w:val="0"/>
              <w:bidi w:val="0"/>
              <w:adjustRightInd/>
              <w:snapToGrid/>
              <w:spacing w:before="0" w:line="560" w:lineRule="exact"/>
              <w:ind w:firstLine="3360" w:firstLineChars="140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年    月    日</w:t>
            </w:r>
          </w:p>
        </w:tc>
      </w:tr>
    </w:tbl>
    <w:p w14:paraId="12F49991">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方正小标宋_GBK"/>
          <w:sz w:val="32"/>
          <w:szCs w:val="32"/>
        </w:rPr>
      </w:pPr>
      <w:r>
        <w:rPr>
          <w:rFonts w:hint="eastAsia" w:ascii="黑体" w:hAnsi="黑体" w:eastAsia="黑体" w:cs="黑体"/>
          <w:sz w:val="32"/>
          <w:szCs w:val="44"/>
          <w:lang w:eastAsia="zh-CN"/>
        </w:rPr>
        <w:t>附件</w:t>
      </w:r>
      <w:r>
        <w:rPr>
          <w:rFonts w:hint="eastAsia" w:ascii="黑体" w:hAnsi="黑体" w:eastAsia="黑体" w:cs="黑体"/>
          <w:sz w:val="32"/>
          <w:szCs w:val="44"/>
          <w:lang w:val="en-US" w:eastAsia="zh-CN"/>
        </w:rPr>
        <w:t>2</w:t>
      </w:r>
    </w:p>
    <w:p w14:paraId="2F2A25E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6"/>
          <w:sz w:val="40"/>
          <w:szCs w:val="40"/>
        </w:rPr>
      </w:pPr>
      <w:r>
        <w:rPr>
          <w:rFonts w:hint="eastAsia" w:ascii="方正小标宋简体" w:hAnsi="方正小标宋简体" w:eastAsia="方正小标宋简体" w:cs="方正小标宋简体"/>
          <w:spacing w:val="-6"/>
          <w:sz w:val="40"/>
          <w:szCs w:val="40"/>
        </w:rPr>
        <w:t>河北省2026年家电以旧换新、数码和智能</w:t>
      </w:r>
    </w:p>
    <w:p w14:paraId="13DBDB4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6"/>
          <w:sz w:val="40"/>
          <w:szCs w:val="40"/>
        </w:rPr>
      </w:pPr>
      <w:r>
        <w:rPr>
          <w:rFonts w:hint="eastAsia" w:ascii="方正小标宋简体" w:hAnsi="方正小标宋简体" w:eastAsia="方正小标宋简体" w:cs="方正小标宋简体"/>
          <w:spacing w:val="-6"/>
          <w:sz w:val="40"/>
          <w:szCs w:val="40"/>
        </w:rPr>
        <w:t>产品购新家补贴活动承办单位参与承诺书</w:t>
      </w:r>
    </w:p>
    <w:p w14:paraId="3C6C640E">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sz w:val="32"/>
          <w:szCs w:val="32"/>
        </w:rPr>
      </w:pPr>
    </w:p>
    <w:p w14:paraId="64B6757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本单位：（填写单位名称），自愿申请参与河北省2026年</w:t>
      </w:r>
      <w:r>
        <w:rPr>
          <w:rFonts w:hint="eastAsia" w:ascii="仿宋_GB2312" w:hAnsi="仿宋_GB2312" w:eastAsia="仿宋_GB2312"/>
          <w:sz w:val="32"/>
          <w:szCs w:val="32"/>
          <w:u w:val="single"/>
        </w:rPr>
        <w:t>家电以旧换新/数码和智能产品购新</w:t>
      </w:r>
      <w:r>
        <w:rPr>
          <w:rFonts w:hint="eastAsia" w:ascii="仿宋_GB2312" w:hAnsi="仿宋_GB2312" w:eastAsia="仿宋_GB2312"/>
          <w:sz w:val="32"/>
          <w:szCs w:val="32"/>
        </w:rPr>
        <w:t>补贴活动，并作出如下郑重承诺：</w:t>
      </w:r>
    </w:p>
    <w:p w14:paraId="229FB0A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一、价格承诺和公示</w:t>
      </w:r>
    </w:p>
    <w:p w14:paraId="184B6B4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（一）报备的补贴产品销售价格不高于厂商零售指导价，且实际销售价格不高于商户备案价格。</w:t>
      </w:r>
    </w:p>
    <w:p w14:paraId="4B06EEF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（二）要在经营场所、网页或APP等显著位置逐项标明每款产品补贴前销售价格、销售环节优惠让利金额、享受补贴资金数额和实际成交价格；提供价保服务的，在显著位置标明参加补贴产品价保的条件、流程。</w:t>
      </w:r>
    </w:p>
    <w:p w14:paraId="5FF3CD2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（三）不得“先涨价后补贴”，不得强制捆绑销售非补贴产品或增值服务，须严格执行商品交易发票制度，向消费者开具正规实名发票，发票抬头所载明消费者姓名须与补贴资格申领人保持一致。</w:t>
      </w:r>
    </w:p>
    <w:p w14:paraId="45E2495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二、经营承诺</w:t>
      </w:r>
    </w:p>
    <w:p w14:paraId="5FDA7A6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严格遵守国家法律法规及有关文件规定，诚信守法经营，不侵犯消费者合法权益；不使用虚假或易产生误解的价格手段诱骗消费者或其他经营者与其交易；不通过虚假打折、减价等方式销售补贴产品；不发布虚假性、误导性信息，不利用自身大数据优势作出有违消费者意愿的行为；确保经营活动中不出现拆分发票、虚开发票、凑单开票以及“退货不退补”、“一机多卖”等不法行为，以及任何形式的骗补、套补行为。</w:t>
      </w:r>
    </w:p>
    <w:p w14:paraId="68B70C2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不采集补贴政策规定之外的消费者个人信息，不以欺骗、误导、强迫或其他违法的方式采集信息；不在满足防范补贴资金风险目的之外使用消费者个人信息；不向第三方机构及个人出售或非法提供消费者个人信息。不利用大数据，非法收集、使用、泄露或篡改消费者身份证号码、收货地址、联系方式、App账号等信息。</w:t>
      </w:r>
    </w:p>
    <w:p w14:paraId="26536FE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本着诚实守信的原则开展消费品以旧换新活动，并如实提供参与门店、商品、销售以及消费信息，自愿接受政府相关部门及委派的第三方机构对本次活动进行监督、审计，并同意以审计结果作为补贴申请的最终依据。如发现我方存在弄虚作假等违法违规行为，愿意按照有关政策要求接受处罚。按照活动时间节点要求，在规定时间内提供申请补贴资金销售的相关材料，逾期后果自行承担。</w:t>
      </w:r>
    </w:p>
    <w:p w14:paraId="1444514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三、材料承诺</w:t>
      </w:r>
    </w:p>
    <w:p w14:paraId="36130EB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严格遵守活动各项要求，积极组织本公司各门店参与,如实开展政策宣传，不擅自增设消费者参与活动的附加、限制条件，并在营业场所显著位置公示咨询投诉电话，认真处理消费者相关咨询、投诉。</w:t>
      </w:r>
    </w:p>
    <w:p w14:paraId="61FD9E1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保证提交的所有审核材料内容真实有效，文件完整齐备，不伪造、变造相关资料。同时，妥善保管已开具发票等材料，作为补贴资金核销、专项审计核查等重要凭证。</w:t>
      </w:r>
    </w:p>
    <w:p w14:paraId="17D84C5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须具备废旧家电回收能力，与正规回收拆解企业签订协议，承办单位要建立废旧家电回收台账，将回收的废旧家电交由正规回收拆解企业处置。</w:t>
      </w:r>
    </w:p>
    <w:p w14:paraId="5DB4EE6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四、责任承诺</w:t>
      </w:r>
    </w:p>
    <w:p w14:paraId="0AEAF72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全力配合政策实施部门及服务机构实施相关套利防控措施，严格审核消费者的参与资格，采取积极举措预防并制止“黄牛”等恶意套利行为。积极配合商务、公安、市场监管等部门检查，如实提供销售、库存、物流等数据。</w:t>
      </w:r>
    </w:p>
    <w:p w14:paraId="00E724E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不以“已参与以旧换新”为由拒绝“七天无理由退货”等消费者合法诉求。但若消费者确需进行退货，能够配合政策实施部门及服务机构做好已享受补贴的清算工作。</w:t>
      </w:r>
    </w:p>
    <w:p w14:paraId="3CE2501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在参与活动过程中，出现问题且未在规定时间内提供佐证材料的，先予暂停，待核实无误后解除暂停。</w:t>
      </w:r>
    </w:p>
    <w:p w14:paraId="035185C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如发生违反本承诺书任一条款的行为，自愿接受处理，立即取消家电数码以旧换新补贴活动参与资格，并丧失后续参与河北省消费品以旧换新活动资格；承担由此产生的全部法律及经济责任。</w:t>
      </w:r>
    </w:p>
    <w:p w14:paraId="00A453D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本承诺书自签署之日起正式生效，有效期至2026年河北省家电数码以旧换新补贴活动结束。</w:t>
      </w:r>
    </w:p>
    <w:p w14:paraId="31796F89">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sz w:val="32"/>
          <w:szCs w:val="32"/>
        </w:rPr>
      </w:pPr>
    </w:p>
    <w:p w14:paraId="382A3901">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hint="eastAsia" w:ascii="仿宋_GB2312" w:hAnsi="仿宋_GB2312" w:eastAsia="仿宋_GB2312"/>
          <w:sz w:val="28"/>
          <w:szCs w:val="28"/>
        </w:rPr>
      </w:pPr>
      <w:r>
        <w:rPr>
          <w:rFonts w:hint="eastAsia" w:ascii="仿宋_GB2312" w:hAnsi="仿宋_GB2312" w:eastAsia="仿宋_GB2312"/>
          <w:sz w:val="28"/>
          <w:szCs w:val="28"/>
        </w:rPr>
        <w:t>单位名称（盖章）：</w:t>
      </w:r>
    </w:p>
    <w:p w14:paraId="10958A97">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hint="eastAsia" w:ascii="仿宋_GB2312" w:hAnsi="仿宋_GB2312" w:eastAsia="仿宋_GB2312"/>
          <w:sz w:val="28"/>
          <w:szCs w:val="28"/>
        </w:rPr>
      </w:pPr>
      <w:r>
        <w:rPr>
          <w:rFonts w:hint="eastAsia" w:ascii="仿宋_GB2312" w:hAnsi="仿宋_GB2312" w:eastAsia="仿宋_GB2312"/>
          <w:sz w:val="28"/>
          <w:szCs w:val="28"/>
        </w:rPr>
        <w:t>法定（负责）代表人（签字或盖章）：</w:t>
      </w:r>
    </w:p>
    <w:p w14:paraId="5767809D">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sz w:val="32"/>
          <w:szCs w:val="32"/>
        </w:rPr>
      </w:pPr>
    </w:p>
    <w:p w14:paraId="3FB990FC">
      <w:pPr>
        <w:keepNext w:val="0"/>
        <w:keepLines w:val="0"/>
        <w:pageBreakBefore w:val="0"/>
        <w:widowControl w:val="0"/>
        <w:kinsoku/>
        <w:wordWrap/>
        <w:overflowPunct/>
        <w:topLinePunct w:val="0"/>
        <w:autoSpaceDE/>
        <w:autoSpaceDN/>
        <w:bidi w:val="0"/>
        <w:adjustRightInd/>
        <w:snapToGrid/>
        <w:spacing w:line="560" w:lineRule="exact"/>
        <w:ind w:firstLine="5600" w:firstLineChars="2000"/>
        <w:textAlignment w:val="auto"/>
        <w:rPr>
          <w:rFonts w:hint="eastAsia" w:ascii="仿宋_GB2312" w:hAnsi="仿宋_GB2312" w:eastAsia="仿宋_GB2312"/>
          <w:sz w:val="28"/>
          <w:szCs w:val="28"/>
        </w:rPr>
      </w:pPr>
      <w:r>
        <w:rPr>
          <w:rFonts w:hint="eastAsia" w:ascii="仿宋_GB2312" w:hAnsi="仿宋_GB2312" w:eastAsia="仿宋_GB2312"/>
          <w:sz w:val="28"/>
          <w:szCs w:val="28"/>
        </w:rPr>
        <w:t>年</w:t>
      </w:r>
      <w:r>
        <w:rPr>
          <w:rFonts w:hint="eastAsia" w:ascii="仿宋_GB2312" w:hAnsi="仿宋_GB2312" w:eastAsia="仿宋_GB2312"/>
          <w:sz w:val="28"/>
          <w:szCs w:val="28"/>
          <w:lang w:val="en-US" w:eastAsia="zh-CN"/>
        </w:rPr>
        <w:t xml:space="preserve">    </w:t>
      </w:r>
      <w:r>
        <w:rPr>
          <w:rFonts w:hint="eastAsia" w:ascii="仿宋_GB2312" w:hAnsi="仿宋_GB2312" w:eastAsia="仿宋_GB2312"/>
          <w:sz w:val="28"/>
          <w:szCs w:val="28"/>
        </w:rPr>
        <w:t>月</w:t>
      </w:r>
      <w:r>
        <w:rPr>
          <w:rFonts w:hint="eastAsia" w:ascii="仿宋_GB2312" w:hAnsi="仿宋_GB2312" w:eastAsia="仿宋_GB2312"/>
          <w:sz w:val="28"/>
          <w:szCs w:val="28"/>
          <w:lang w:val="en-US" w:eastAsia="zh-CN"/>
        </w:rPr>
        <w:t xml:space="preserve">    </w:t>
      </w:r>
      <w:r>
        <w:rPr>
          <w:rFonts w:hint="eastAsia" w:ascii="仿宋_GB2312" w:hAnsi="仿宋_GB2312" w:eastAsia="仿宋_GB2312"/>
          <w:sz w:val="28"/>
          <w:szCs w:val="28"/>
        </w:rPr>
        <w:t>日</w:t>
      </w:r>
    </w:p>
    <w:p w14:paraId="08B2E4D8">
      <w:pPr>
        <w:pStyle w:val="3"/>
        <w:keepNext w:val="0"/>
        <w:keepLines w:val="0"/>
        <w:pageBreakBefore w:val="0"/>
        <w:widowControl w:val="0"/>
        <w:kinsoku/>
        <w:wordWrap/>
        <w:overflowPunct/>
        <w:topLinePunct w:val="0"/>
        <w:autoSpaceDE w:val="0"/>
        <w:autoSpaceDN w:val="0"/>
        <w:bidi w:val="0"/>
        <w:adjustRightInd/>
        <w:snapToGrid/>
        <w:spacing w:before="31" w:line="560" w:lineRule="exact"/>
        <w:textAlignment w:val="auto"/>
        <w:rPr>
          <w:rFonts w:hint="eastAsia" w:ascii="黑体" w:eastAsia="黑体"/>
          <w:lang w:val="en-US" w:eastAsia="zh-CN"/>
        </w:rPr>
      </w:pPr>
      <w:r>
        <w:rPr>
          <w:rFonts w:hint="eastAsia" w:ascii="黑体" w:eastAsia="黑体"/>
        </w:rPr>
        <w:t>附件</w:t>
      </w:r>
      <w:r>
        <w:rPr>
          <w:rFonts w:hint="eastAsia" w:ascii="黑体" w:eastAsia="黑体"/>
          <w:lang w:val="en-US" w:eastAsia="zh-CN"/>
        </w:rPr>
        <w:t>3</w:t>
      </w:r>
    </w:p>
    <w:p w14:paraId="7042CBA8">
      <w:pPr>
        <w:keepNext w:val="0"/>
        <w:keepLines w:val="0"/>
        <w:pageBreakBefore w:val="0"/>
        <w:widowControl w:val="0"/>
        <w:tabs>
          <w:tab w:val="left" w:pos="7292"/>
          <w:tab w:val="left" w:pos="7854"/>
          <w:tab w:val="left" w:pos="8411"/>
        </w:tabs>
        <w:kinsoku/>
        <w:wordWrap/>
        <w:overflowPunct/>
        <w:topLinePunct w:val="0"/>
        <w:autoSpaceDE w:val="0"/>
        <w:autoSpaceDN w:val="0"/>
        <w:bidi w:val="0"/>
        <w:adjustRightInd/>
        <w:snapToGrid/>
        <w:spacing w:before="0" w:after="0" w:line="560" w:lineRule="exact"/>
        <w:ind w:right="0"/>
        <w:jc w:val="center"/>
        <w:textAlignment w:val="auto"/>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lang w:eastAsia="zh-CN"/>
        </w:rPr>
        <w:t>活动承办单位门店申报表</w:t>
      </w:r>
    </w:p>
    <w:p w14:paraId="782B5E38">
      <w:pPr>
        <w:keepNext w:val="0"/>
        <w:keepLines w:val="0"/>
        <w:pageBreakBefore w:val="0"/>
        <w:widowControl w:val="0"/>
        <w:tabs>
          <w:tab w:val="left" w:pos="7292"/>
          <w:tab w:val="left" w:pos="7854"/>
          <w:tab w:val="left" w:pos="8411"/>
        </w:tabs>
        <w:kinsoku/>
        <w:wordWrap/>
        <w:overflowPunct/>
        <w:topLinePunct w:val="0"/>
        <w:autoSpaceDE w:val="0"/>
        <w:autoSpaceDN w:val="0"/>
        <w:bidi w:val="0"/>
        <w:adjustRightInd/>
        <w:snapToGrid/>
        <w:spacing w:before="157" w:beforeLines="50" w:after="0" w:line="560" w:lineRule="exact"/>
        <w:ind w:right="0" w:firstLine="280" w:firstLineChars="1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活动承办单位（盖章）</w:t>
      </w:r>
    </w:p>
    <w:tbl>
      <w:tblPr>
        <w:tblStyle w:val="5"/>
        <w:tblW w:w="8619"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0"/>
        <w:gridCol w:w="1029"/>
        <w:gridCol w:w="3878"/>
        <w:gridCol w:w="1115"/>
        <w:gridCol w:w="1367"/>
      </w:tblGrid>
      <w:tr w14:paraId="65C1B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230" w:type="dxa"/>
            <w:noWrap w:val="0"/>
            <w:vAlign w:val="center"/>
          </w:tcPr>
          <w:p w14:paraId="4F1187DD">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序号</w:t>
            </w:r>
          </w:p>
        </w:tc>
        <w:tc>
          <w:tcPr>
            <w:tcW w:w="1029" w:type="dxa"/>
            <w:noWrap w:val="0"/>
            <w:vAlign w:val="center"/>
          </w:tcPr>
          <w:p w14:paraId="1091CFDB">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门店名称</w:t>
            </w:r>
          </w:p>
        </w:tc>
        <w:tc>
          <w:tcPr>
            <w:tcW w:w="3878" w:type="dxa"/>
            <w:noWrap w:val="0"/>
            <w:vAlign w:val="center"/>
          </w:tcPr>
          <w:p w14:paraId="5D9B0CC1">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门店详细地址</w:t>
            </w:r>
          </w:p>
          <w:p w14:paraId="17F4EA74">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（门店为网店的注明注册网站）</w:t>
            </w:r>
          </w:p>
        </w:tc>
        <w:tc>
          <w:tcPr>
            <w:tcW w:w="1115" w:type="dxa"/>
            <w:noWrap w:val="0"/>
            <w:vAlign w:val="center"/>
          </w:tcPr>
          <w:p w14:paraId="758C17FE">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门店</w:t>
            </w:r>
          </w:p>
          <w:p w14:paraId="43E9366F">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负责人</w:t>
            </w:r>
          </w:p>
        </w:tc>
        <w:tc>
          <w:tcPr>
            <w:tcW w:w="1367" w:type="dxa"/>
            <w:noWrap w:val="0"/>
            <w:vAlign w:val="center"/>
          </w:tcPr>
          <w:p w14:paraId="7A3789F1">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门店</w:t>
            </w:r>
          </w:p>
          <w:p w14:paraId="3FE4B608">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联系电话</w:t>
            </w:r>
          </w:p>
        </w:tc>
      </w:tr>
      <w:tr w14:paraId="14525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230" w:type="dxa"/>
            <w:noWrap w:val="0"/>
            <w:vAlign w:val="center"/>
          </w:tcPr>
          <w:p w14:paraId="2B0C5ED6">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029" w:type="dxa"/>
            <w:noWrap w:val="0"/>
            <w:vAlign w:val="center"/>
          </w:tcPr>
          <w:p w14:paraId="53300607">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jc w:val="center"/>
              <w:textAlignment w:val="auto"/>
              <w:rPr>
                <w:rFonts w:hint="eastAsia" w:ascii="宋体" w:hAnsi="宋体" w:eastAsia="宋体" w:cs="宋体"/>
                <w:sz w:val="24"/>
                <w:szCs w:val="24"/>
              </w:rPr>
            </w:pPr>
          </w:p>
        </w:tc>
        <w:tc>
          <w:tcPr>
            <w:tcW w:w="3878" w:type="dxa"/>
            <w:noWrap w:val="0"/>
            <w:vAlign w:val="center"/>
          </w:tcPr>
          <w:p w14:paraId="47EFD6AE">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jc w:val="center"/>
              <w:textAlignment w:val="auto"/>
              <w:rPr>
                <w:rFonts w:hint="eastAsia" w:ascii="宋体" w:hAnsi="宋体" w:eastAsia="宋体" w:cs="宋体"/>
                <w:sz w:val="24"/>
                <w:szCs w:val="24"/>
              </w:rPr>
            </w:pPr>
          </w:p>
        </w:tc>
        <w:tc>
          <w:tcPr>
            <w:tcW w:w="1115" w:type="dxa"/>
            <w:noWrap w:val="0"/>
            <w:vAlign w:val="center"/>
          </w:tcPr>
          <w:p w14:paraId="71FFB215">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jc w:val="center"/>
              <w:textAlignment w:val="auto"/>
              <w:rPr>
                <w:rFonts w:hint="eastAsia" w:ascii="宋体" w:hAnsi="宋体" w:eastAsia="宋体" w:cs="宋体"/>
                <w:sz w:val="24"/>
                <w:szCs w:val="24"/>
              </w:rPr>
            </w:pPr>
          </w:p>
        </w:tc>
        <w:tc>
          <w:tcPr>
            <w:tcW w:w="1367" w:type="dxa"/>
            <w:noWrap w:val="0"/>
            <w:vAlign w:val="center"/>
          </w:tcPr>
          <w:p w14:paraId="0D5168FC">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jc w:val="center"/>
              <w:textAlignment w:val="auto"/>
              <w:rPr>
                <w:rFonts w:hint="eastAsia" w:ascii="宋体" w:hAnsi="宋体" w:eastAsia="宋体" w:cs="宋体"/>
                <w:sz w:val="24"/>
                <w:szCs w:val="24"/>
              </w:rPr>
            </w:pPr>
          </w:p>
        </w:tc>
      </w:tr>
      <w:tr w14:paraId="45526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230" w:type="dxa"/>
            <w:noWrap w:val="0"/>
            <w:vAlign w:val="center"/>
          </w:tcPr>
          <w:p w14:paraId="1C44EC25">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029" w:type="dxa"/>
            <w:noWrap w:val="0"/>
            <w:vAlign w:val="center"/>
          </w:tcPr>
          <w:p w14:paraId="10D7B674">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3878" w:type="dxa"/>
            <w:noWrap w:val="0"/>
            <w:vAlign w:val="center"/>
          </w:tcPr>
          <w:p w14:paraId="1C5595D6">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115" w:type="dxa"/>
            <w:noWrap w:val="0"/>
            <w:vAlign w:val="center"/>
          </w:tcPr>
          <w:p w14:paraId="5815EEE2">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367" w:type="dxa"/>
            <w:noWrap w:val="0"/>
            <w:vAlign w:val="center"/>
          </w:tcPr>
          <w:p w14:paraId="782DC829">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r>
      <w:tr w14:paraId="11201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230" w:type="dxa"/>
            <w:noWrap w:val="0"/>
            <w:vAlign w:val="center"/>
          </w:tcPr>
          <w:p w14:paraId="3EF7B74D">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029" w:type="dxa"/>
            <w:noWrap w:val="0"/>
            <w:vAlign w:val="center"/>
          </w:tcPr>
          <w:p w14:paraId="0BB862DE">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3878" w:type="dxa"/>
            <w:noWrap w:val="0"/>
            <w:vAlign w:val="center"/>
          </w:tcPr>
          <w:p w14:paraId="7F642B21">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115" w:type="dxa"/>
            <w:noWrap w:val="0"/>
            <w:vAlign w:val="center"/>
          </w:tcPr>
          <w:p w14:paraId="41EC026C">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367" w:type="dxa"/>
            <w:noWrap w:val="0"/>
            <w:vAlign w:val="center"/>
          </w:tcPr>
          <w:p w14:paraId="46192D08">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r>
      <w:tr w14:paraId="2DE31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230" w:type="dxa"/>
            <w:noWrap w:val="0"/>
            <w:vAlign w:val="center"/>
          </w:tcPr>
          <w:p w14:paraId="6A520691">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029" w:type="dxa"/>
            <w:noWrap w:val="0"/>
            <w:vAlign w:val="center"/>
          </w:tcPr>
          <w:p w14:paraId="055A88EE">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3878" w:type="dxa"/>
            <w:noWrap w:val="0"/>
            <w:vAlign w:val="center"/>
          </w:tcPr>
          <w:p w14:paraId="1B661212">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115" w:type="dxa"/>
            <w:noWrap w:val="0"/>
            <w:vAlign w:val="center"/>
          </w:tcPr>
          <w:p w14:paraId="37122509">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367" w:type="dxa"/>
            <w:noWrap w:val="0"/>
            <w:vAlign w:val="center"/>
          </w:tcPr>
          <w:p w14:paraId="1951BBAC">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r>
      <w:tr w14:paraId="3806A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230" w:type="dxa"/>
            <w:noWrap w:val="0"/>
            <w:vAlign w:val="center"/>
          </w:tcPr>
          <w:p w14:paraId="79981BD6">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029" w:type="dxa"/>
            <w:noWrap w:val="0"/>
            <w:vAlign w:val="center"/>
          </w:tcPr>
          <w:p w14:paraId="375C94CF">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3878" w:type="dxa"/>
            <w:noWrap w:val="0"/>
            <w:vAlign w:val="center"/>
          </w:tcPr>
          <w:p w14:paraId="25999A5D">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115" w:type="dxa"/>
            <w:noWrap w:val="0"/>
            <w:vAlign w:val="center"/>
          </w:tcPr>
          <w:p w14:paraId="5CB3F7E6">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367" w:type="dxa"/>
            <w:noWrap w:val="0"/>
            <w:vAlign w:val="center"/>
          </w:tcPr>
          <w:p w14:paraId="6B4AC3D2">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r>
      <w:tr w14:paraId="24B2C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230" w:type="dxa"/>
            <w:noWrap w:val="0"/>
            <w:vAlign w:val="center"/>
          </w:tcPr>
          <w:p w14:paraId="2955126B">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029" w:type="dxa"/>
            <w:noWrap w:val="0"/>
            <w:vAlign w:val="center"/>
          </w:tcPr>
          <w:p w14:paraId="3778D693">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3878" w:type="dxa"/>
            <w:noWrap w:val="0"/>
            <w:vAlign w:val="center"/>
          </w:tcPr>
          <w:p w14:paraId="0494EA10">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115" w:type="dxa"/>
            <w:noWrap w:val="0"/>
            <w:vAlign w:val="center"/>
          </w:tcPr>
          <w:p w14:paraId="1B439B94">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367" w:type="dxa"/>
            <w:noWrap w:val="0"/>
            <w:vAlign w:val="center"/>
          </w:tcPr>
          <w:p w14:paraId="3DC0CF0C">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r>
    </w:tbl>
    <w:p w14:paraId="24A4202B"/>
    <w:p w14:paraId="09A84964">
      <w:pPr>
        <w:pStyle w:val="3"/>
        <w:keepNext w:val="0"/>
        <w:keepLines w:val="0"/>
        <w:pageBreakBefore w:val="0"/>
        <w:widowControl/>
        <w:kinsoku/>
        <w:wordWrap/>
        <w:overflowPunct w:val="0"/>
        <w:topLinePunct w:val="0"/>
        <w:autoSpaceDE w:val="0"/>
        <w:autoSpaceDN w:val="0"/>
        <w:bidi w:val="0"/>
        <w:adjustRightInd w:val="0"/>
        <w:snapToGrid w:val="0"/>
        <w:spacing w:line="560" w:lineRule="exact"/>
        <w:ind w:right="0"/>
        <w:jc w:val="both"/>
        <w:textAlignment w:val="baseline"/>
        <w:rPr>
          <w:rFonts w:hint="default" w:ascii="仿宋_GB2312" w:hAnsi="仿宋_GB2312" w:eastAsia="仿宋_GB2312" w:cs="仿宋_GB2312"/>
          <w:spacing w:val="2"/>
          <w:sz w:val="32"/>
          <w:szCs w:val="32"/>
          <w:lang w:val="en-US" w:eastAsia="zh-CN"/>
        </w:rPr>
      </w:pPr>
    </w:p>
    <w:p w14:paraId="50595113">
      <w:pPr>
        <w:pStyle w:val="3"/>
        <w:keepNext w:val="0"/>
        <w:keepLines w:val="0"/>
        <w:pageBreakBefore w:val="0"/>
        <w:widowControl/>
        <w:kinsoku/>
        <w:wordWrap/>
        <w:overflowPunct w:val="0"/>
        <w:topLinePunct w:val="0"/>
        <w:autoSpaceDE w:val="0"/>
        <w:autoSpaceDN w:val="0"/>
        <w:bidi w:val="0"/>
        <w:adjustRightInd w:val="0"/>
        <w:snapToGrid w:val="0"/>
        <w:spacing w:line="560" w:lineRule="exact"/>
        <w:ind w:right="0"/>
        <w:jc w:val="both"/>
        <w:textAlignment w:val="baseline"/>
        <w:rPr>
          <w:rFonts w:hint="default" w:ascii="仿宋_GB2312" w:hAnsi="仿宋_GB2312" w:eastAsia="仿宋_GB2312" w:cs="仿宋_GB2312"/>
          <w:spacing w:val="2"/>
          <w:sz w:val="32"/>
          <w:szCs w:val="32"/>
          <w:lang w:val="en-US" w:eastAsia="zh-CN"/>
        </w:rPr>
      </w:pPr>
    </w:p>
    <w:p w14:paraId="10AE9327">
      <w:pPr>
        <w:pStyle w:val="3"/>
        <w:keepNext w:val="0"/>
        <w:keepLines w:val="0"/>
        <w:pageBreakBefore w:val="0"/>
        <w:widowControl/>
        <w:kinsoku/>
        <w:wordWrap/>
        <w:overflowPunct w:val="0"/>
        <w:topLinePunct w:val="0"/>
        <w:autoSpaceDE w:val="0"/>
        <w:autoSpaceDN w:val="0"/>
        <w:bidi w:val="0"/>
        <w:adjustRightInd w:val="0"/>
        <w:snapToGrid w:val="0"/>
        <w:spacing w:line="560" w:lineRule="exact"/>
        <w:ind w:right="0"/>
        <w:jc w:val="both"/>
        <w:textAlignment w:val="baseline"/>
        <w:rPr>
          <w:rFonts w:hint="default" w:ascii="仿宋_GB2312" w:hAnsi="仿宋_GB2312" w:eastAsia="仿宋_GB2312" w:cs="仿宋_GB2312"/>
          <w:spacing w:val="2"/>
          <w:sz w:val="32"/>
          <w:szCs w:val="32"/>
          <w:lang w:val="en-US" w:eastAsia="zh-CN"/>
        </w:rPr>
      </w:pPr>
    </w:p>
    <w:p w14:paraId="258BF570">
      <w:pPr>
        <w:pStyle w:val="3"/>
        <w:keepNext w:val="0"/>
        <w:keepLines w:val="0"/>
        <w:pageBreakBefore w:val="0"/>
        <w:widowControl/>
        <w:kinsoku/>
        <w:wordWrap/>
        <w:overflowPunct w:val="0"/>
        <w:topLinePunct w:val="0"/>
        <w:autoSpaceDE w:val="0"/>
        <w:autoSpaceDN w:val="0"/>
        <w:bidi w:val="0"/>
        <w:adjustRightInd w:val="0"/>
        <w:snapToGrid w:val="0"/>
        <w:spacing w:line="560" w:lineRule="exact"/>
        <w:ind w:right="0"/>
        <w:jc w:val="both"/>
        <w:textAlignment w:val="baseline"/>
        <w:rPr>
          <w:rFonts w:hint="default" w:ascii="仿宋_GB2312" w:hAnsi="仿宋_GB2312" w:eastAsia="仿宋_GB2312" w:cs="仿宋_GB2312"/>
          <w:spacing w:val="2"/>
          <w:sz w:val="32"/>
          <w:szCs w:val="32"/>
          <w:lang w:val="en-US" w:eastAsia="zh-CN"/>
        </w:rPr>
      </w:pPr>
    </w:p>
    <w:p w14:paraId="50887F60">
      <w:pPr>
        <w:pStyle w:val="3"/>
        <w:keepNext w:val="0"/>
        <w:keepLines w:val="0"/>
        <w:pageBreakBefore w:val="0"/>
        <w:widowControl/>
        <w:kinsoku/>
        <w:wordWrap/>
        <w:overflowPunct w:val="0"/>
        <w:topLinePunct w:val="0"/>
        <w:autoSpaceDE w:val="0"/>
        <w:autoSpaceDN w:val="0"/>
        <w:bidi w:val="0"/>
        <w:adjustRightInd w:val="0"/>
        <w:snapToGrid w:val="0"/>
        <w:spacing w:line="560" w:lineRule="exact"/>
        <w:ind w:right="0"/>
        <w:jc w:val="both"/>
        <w:textAlignment w:val="baseline"/>
        <w:rPr>
          <w:rFonts w:hint="default" w:ascii="仿宋_GB2312" w:hAnsi="仿宋_GB2312" w:eastAsia="仿宋_GB2312" w:cs="仿宋_GB2312"/>
          <w:spacing w:val="2"/>
          <w:sz w:val="32"/>
          <w:szCs w:val="32"/>
          <w:lang w:val="en-US" w:eastAsia="zh-CN"/>
        </w:rPr>
      </w:pPr>
    </w:p>
    <w:p w14:paraId="4173A6AB">
      <w:pPr>
        <w:pStyle w:val="3"/>
        <w:keepNext w:val="0"/>
        <w:keepLines w:val="0"/>
        <w:pageBreakBefore w:val="0"/>
        <w:widowControl/>
        <w:kinsoku/>
        <w:wordWrap/>
        <w:overflowPunct w:val="0"/>
        <w:topLinePunct w:val="0"/>
        <w:autoSpaceDE w:val="0"/>
        <w:autoSpaceDN w:val="0"/>
        <w:bidi w:val="0"/>
        <w:adjustRightInd w:val="0"/>
        <w:snapToGrid w:val="0"/>
        <w:spacing w:line="560" w:lineRule="exact"/>
        <w:ind w:right="0"/>
        <w:jc w:val="both"/>
        <w:textAlignment w:val="baseline"/>
        <w:rPr>
          <w:rFonts w:hint="default" w:ascii="仿宋_GB2312" w:hAnsi="仿宋_GB2312" w:eastAsia="仿宋_GB2312" w:cs="仿宋_GB2312"/>
          <w:spacing w:val="2"/>
          <w:sz w:val="32"/>
          <w:szCs w:val="32"/>
          <w:lang w:val="en-US" w:eastAsia="zh-CN"/>
        </w:rPr>
      </w:pPr>
    </w:p>
    <w:p w14:paraId="68B44CDF">
      <w:pPr>
        <w:pStyle w:val="3"/>
        <w:keepNext w:val="0"/>
        <w:keepLines w:val="0"/>
        <w:pageBreakBefore w:val="0"/>
        <w:widowControl/>
        <w:kinsoku/>
        <w:wordWrap/>
        <w:overflowPunct w:val="0"/>
        <w:topLinePunct w:val="0"/>
        <w:autoSpaceDE w:val="0"/>
        <w:autoSpaceDN w:val="0"/>
        <w:bidi w:val="0"/>
        <w:adjustRightInd w:val="0"/>
        <w:snapToGrid w:val="0"/>
        <w:spacing w:line="560" w:lineRule="exact"/>
        <w:ind w:right="0"/>
        <w:jc w:val="both"/>
        <w:textAlignment w:val="baseline"/>
        <w:rPr>
          <w:rFonts w:hint="default" w:ascii="仿宋_GB2312" w:hAnsi="仿宋_GB2312" w:eastAsia="仿宋_GB2312" w:cs="仿宋_GB2312"/>
          <w:spacing w:val="2"/>
          <w:sz w:val="32"/>
          <w:szCs w:val="32"/>
          <w:lang w:val="en-US" w:eastAsia="zh-CN"/>
        </w:rPr>
      </w:pPr>
    </w:p>
    <w:p w14:paraId="7B042D08">
      <w:pPr>
        <w:pStyle w:val="3"/>
        <w:keepNext w:val="0"/>
        <w:keepLines w:val="0"/>
        <w:pageBreakBefore w:val="0"/>
        <w:widowControl/>
        <w:kinsoku/>
        <w:wordWrap/>
        <w:overflowPunct w:val="0"/>
        <w:topLinePunct w:val="0"/>
        <w:autoSpaceDE w:val="0"/>
        <w:autoSpaceDN w:val="0"/>
        <w:bidi w:val="0"/>
        <w:adjustRightInd w:val="0"/>
        <w:snapToGrid w:val="0"/>
        <w:spacing w:line="560" w:lineRule="exact"/>
        <w:ind w:right="0"/>
        <w:jc w:val="both"/>
        <w:textAlignment w:val="baseline"/>
        <w:rPr>
          <w:rFonts w:hint="default" w:ascii="仿宋_GB2312" w:hAnsi="仿宋_GB2312" w:eastAsia="仿宋_GB2312" w:cs="仿宋_GB2312"/>
          <w:spacing w:val="2"/>
          <w:sz w:val="32"/>
          <w:szCs w:val="32"/>
          <w:lang w:val="en-US" w:eastAsia="zh-CN"/>
        </w:rPr>
      </w:pPr>
    </w:p>
    <w:p w14:paraId="102FD097">
      <w:pPr>
        <w:pStyle w:val="3"/>
        <w:keepNext w:val="0"/>
        <w:keepLines w:val="0"/>
        <w:pageBreakBefore w:val="0"/>
        <w:widowControl/>
        <w:kinsoku/>
        <w:wordWrap/>
        <w:overflowPunct w:val="0"/>
        <w:topLinePunct w:val="0"/>
        <w:autoSpaceDE w:val="0"/>
        <w:autoSpaceDN w:val="0"/>
        <w:bidi w:val="0"/>
        <w:adjustRightInd w:val="0"/>
        <w:snapToGrid w:val="0"/>
        <w:spacing w:line="560" w:lineRule="exact"/>
        <w:ind w:right="0"/>
        <w:jc w:val="both"/>
        <w:textAlignment w:val="baseline"/>
        <w:rPr>
          <w:rFonts w:hint="default" w:ascii="仿宋_GB2312" w:hAnsi="仿宋_GB2312" w:eastAsia="仿宋_GB2312" w:cs="仿宋_GB2312"/>
          <w:spacing w:val="2"/>
          <w:sz w:val="32"/>
          <w:szCs w:val="32"/>
          <w:lang w:val="en-US" w:eastAsia="zh-CN"/>
        </w:rPr>
      </w:pPr>
    </w:p>
    <w:p w14:paraId="13F059C9">
      <w:pPr>
        <w:pStyle w:val="3"/>
        <w:keepNext w:val="0"/>
        <w:keepLines w:val="0"/>
        <w:pageBreakBefore w:val="0"/>
        <w:widowControl w:val="0"/>
        <w:kinsoku/>
        <w:wordWrap/>
        <w:overflowPunct/>
        <w:topLinePunct w:val="0"/>
        <w:autoSpaceDE w:val="0"/>
        <w:autoSpaceDN w:val="0"/>
        <w:bidi w:val="0"/>
        <w:adjustRightInd/>
        <w:snapToGrid/>
        <w:spacing w:before="31" w:line="560" w:lineRule="exact"/>
        <w:textAlignment w:val="auto"/>
        <w:rPr>
          <w:rFonts w:hint="eastAsia" w:ascii="黑体" w:eastAsia="黑体"/>
          <w:lang w:val="en-US" w:eastAsia="zh-CN"/>
        </w:rPr>
      </w:pPr>
      <w:r>
        <w:rPr>
          <w:rFonts w:hint="eastAsia" w:ascii="黑体" w:eastAsia="黑体"/>
        </w:rPr>
        <w:t>附件</w:t>
      </w:r>
      <w:r>
        <w:rPr>
          <w:rFonts w:hint="eastAsia" w:ascii="黑体" w:eastAsia="黑体"/>
          <w:lang w:val="en-US" w:eastAsia="zh-CN"/>
        </w:rPr>
        <w:t>4</w:t>
      </w:r>
    </w:p>
    <w:p w14:paraId="53590749">
      <w:pPr>
        <w:keepNext w:val="0"/>
        <w:keepLines w:val="0"/>
        <w:pageBreakBefore w:val="0"/>
        <w:widowControl w:val="0"/>
        <w:tabs>
          <w:tab w:val="left" w:pos="7292"/>
          <w:tab w:val="left" w:pos="7854"/>
          <w:tab w:val="left" w:pos="8411"/>
        </w:tabs>
        <w:kinsoku/>
        <w:wordWrap/>
        <w:overflowPunct/>
        <w:topLinePunct w:val="0"/>
        <w:autoSpaceDE w:val="0"/>
        <w:autoSpaceDN w:val="0"/>
        <w:bidi w:val="0"/>
        <w:adjustRightInd/>
        <w:snapToGrid/>
        <w:spacing w:before="0" w:after="0" w:line="560" w:lineRule="exact"/>
        <w:ind w:right="0"/>
        <w:jc w:val="center"/>
        <w:textAlignment w:val="auto"/>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lang w:eastAsia="zh-CN"/>
        </w:rPr>
        <w:t>参加活动商品品类及价格备案表</w:t>
      </w:r>
    </w:p>
    <w:p w14:paraId="28068337">
      <w:pPr>
        <w:keepNext w:val="0"/>
        <w:keepLines w:val="0"/>
        <w:pageBreakBefore w:val="0"/>
        <w:widowControl w:val="0"/>
        <w:tabs>
          <w:tab w:val="left" w:pos="7292"/>
          <w:tab w:val="left" w:pos="7854"/>
          <w:tab w:val="left" w:pos="8411"/>
        </w:tabs>
        <w:kinsoku/>
        <w:wordWrap/>
        <w:overflowPunct/>
        <w:topLinePunct w:val="0"/>
        <w:autoSpaceDE w:val="0"/>
        <w:autoSpaceDN w:val="0"/>
        <w:bidi w:val="0"/>
        <w:adjustRightInd/>
        <w:snapToGrid/>
        <w:spacing w:before="157" w:beforeLines="50" w:after="0" w:line="560" w:lineRule="exact"/>
        <w:ind w:right="0" w:firstLine="280" w:firstLineChars="1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活动承办单位（盖章）</w:t>
      </w:r>
    </w:p>
    <w:tbl>
      <w:tblPr>
        <w:tblStyle w:val="5"/>
        <w:tblW w:w="8619"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9"/>
        <w:gridCol w:w="1600"/>
        <w:gridCol w:w="1134"/>
        <w:gridCol w:w="2449"/>
        <w:gridCol w:w="1617"/>
      </w:tblGrid>
      <w:tr w14:paraId="2A9F4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819" w:type="dxa"/>
            <w:noWrap w:val="0"/>
            <w:vAlign w:val="center"/>
          </w:tcPr>
          <w:p w14:paraId="5B0FA9F5">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类别</w:t>
            </w:r>
          </w:p>
        </w:tc>
        <w:tc>
          <w:tcPr>
            <w:tcW w:w="1600" w:type="dxa"/>
            <w:noWrap w:val="0"/>
            <w:vAlign w:val="center"/>
          </w:tcPr>
          <w:p w14:paraId="43D90AAC">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品名</w:t>
            </w:r>
          </w:p>
        </w:tc>
        <w:tc>
          <w:tcPr>
            <w:tcW w:w="1134" w:type="dxa"/>
            <w:noWrap w:val="0"/>
            <w:vAlign w:val="center"/>
          </w:tcPr>
          <w:p w14:paraId="7889FA3D">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品牌</w:t>
            </w:r>
          </w:p>
        </w:tc>
        <w:tc>
          <w:tcPr>
            <w:tcW w:w="2449" w:type="dxa"/>
            <w:noWrap w:val="0"/>
            <w:vAlign w:val="center"/>
          </w:tcPr>
          <w:p w14:paraId="374FAC1D">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规格型号</w:t>
            </w:r>
          </w:p>
        </w:tc>
        <w:tc>
          <w:tcPr>
            <w:tcW w:w="1617" w:type="dxa"/>
            <w:noWrap w:val="0"/>
            <w:vAlign w:val="center"/>
          </w:tcPr>
          <w:p w14:paraId="335EB12E">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参考价格</w:t>
            </w:r>
          </w:p>
          <w:p w14:paraId="2B0AACC5">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（元）</w:t>
            </w:r>
          </w:p>
        </w:tc>
      </w:tr>
      <w:tr w14:paraId="4DACD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819" w:type="dxa"/>
            <w:noWrap w:val="0"/>
            <w:vAlign w:val="center"/>
          </w:tcPr>
          <w:p w14:paraId="2B8079A2">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600" w:type="dxa"/>
            <w:noWrap w:val="0"/>
            <w:vAlign w:val="center"/>
          </w:tcPr>
          <w:p w14:paraId="21B79A42">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jc w:val="center"/>
              <w:textAlignment w:val="auto"/>
              <w:rPr>
                <w:rFonts w:hint="eastAsia" w:ascii="宋体" w:hAnsi="宋体" w:eastAsia="宋体" w:cs="宋体"/>
                <w:sz w:val="24"/>
                <w:szCs w:val="24"/>
              </w:rPr>
            </w:pPr>
          </w:p>
        </w:tc>
        <w:tc>
          <w:tcPr>
            <w:tcW w:w="1134" w:type="dxa"/>
            <w:noWrap w:val="0"/>
            <w:vAlign w:val="center"/>
          </w:tcPr>
          <w:p w14:paraId="7D7A94B9">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jc w:val="center"/>
              <w:textAlignment w:val="auto"/>
              <w:rPr>
                <w:rFonts w:hint="eastAsia" w:ascii="宋体" w:hAnsi="宋体" w:eastAsia="宋体" w:cs="宋体"/>
                <w:sz w:val="24"/>
                <w:szCs w:val="24"/>
              </w:rPr>
            </w:pPr>
          </w:p>
        </w:tc>
        <w:tc>
          <w:tcPr>
            <w:tcW w:w="2449" w:type="dxa"/>
            <w:noWrap w:val="0"/>
            <w:vAlign w:val="center"/>
          </w:tcPr>
          <w:p w14:paraId="7201CBFE">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jc w:val="center"/>
              <w:textAlignment w:val="auto"/>
              <w:rPr>
                <w:rFonts w:hint="eastAsia" w:ascii="宋体" w:hAnsi="宋体" w:eastAsia="宋体" w:cs="宋体"/>
                <w:sz w:val="24"/>
                <w:szCs w:val="24"/>
              </w:rPr>
            </w:pPr>
          </w:p>
        </w:tc>
        <w:tc>
          <w:tcPr>
            <w:tcW w:w="1617" w:type="dxa"/>
            <w:noWrap w:val="0"/>
            <w:vAlign w:val="center"/>
          </w:tcPr>
          <w:p w14:paraId="05AFFF4B">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jc w:val="center"/>
              <w:textAlignment w:val="auto"/>
              <w:rPr>
                <w:rFonts w:hint="eastAsia" w:ascii="宋体" w:hAnsi="宋体" w:eastAsia="宋体" w:cs="宋体"/>
                <w:sz w:val="24"/>
                <w:szCs w:val="24"/>
              </w:rPr>
            </w:pPr>
          </w:p>
        </w:tc>
      </w:tr>
      <w:tr w14:paraId="7A4FF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819" w:type="dxa"/>
            <w:noWrap w:val="0"/>
            <w:vAlign w:val="center"/>
          </w:tcPr>
          <w:p w14:paraId="0736C8DF">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600" w:type="dxa"/>
            <w:noWrap w:val="0"/>
            <w:vAlign w:val="center"/>
          </w:tcPr>
          <w:p w14:paraId="492AEEB1">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134" w:type="dxa"/>
            <w:noWrap w:val="0"/>
            <w:vAlign w:val="center"/>
          </w:tcPr>
          <w:p w14:paraId="146E7A79">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2449" w:type="dxa"/>
            <w:noWrap w:val="0"/>
            <w:vAlign w:val="center"/>
          </w:tcPr>
          <w:p w14:paraId="07AA62FD">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617" w:type="dxa"/>
            <w:noWrap w:val="0"/>
            <w:vAlign w:val="center"/>
          </w:tcPr>
          <w:p w14:paraId="4443A5D3">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r>
      <w:tr w14:paraId="77B66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819" w:type="dxa"/>
            <w:noWrap w:val="0"/>
            <w:vAlign w:val="center"/>
          </w:tcPr>
          <w:p w14:paraId="02837CE5">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600" w:type="dxa"/>
            <w:noWrap w:val="0"/>
            <w:vAlign w:val="center"/>
          </w:tcPr>
          <w:p w14:paraId="351514AE">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134" w:type="dxa"/>
            <w:noWrap w:val="0"/>
            <w:vAlign w:val="center"/>
          </w:tcPr>
          <w:p w14:paraId="3602AFB0">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2449" w:type="dxa"/>
            <w:noWrap w:val="0"/>
            <w:vAlign w:val="center"/>
          </w:tcPr>
          <w:p w14:paraId="5498BBDA">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617" w:type="dxa"/>
            <w:noWrap w:val="0"/>
            <w:vAlign w:val="center"/>
          </w:tcPr>
          <w:p w14:paraId="75B5CE0D">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r>
      <w:tr w14:paraId="66CA2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819" w:type="dxa"/>
            <w:noWrap w:val="0"/>
            <w:vAlign w:val="center"/>
          </w:tcPr>
          <w:p w14:paraId="492C0B52">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600" w:type="dxa"/>
            <w:noWrap w:val="0"/>
            <w:vAlign w:val="center"/>
          </w:tcPr>
          <w:p w14:paraId="73952C2D">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134" w:type="dxa"/>
            <w:noWrap w:val="0"/>
            <w:vAlign w:val="center"/>
          </w:tcPr>
          <w:p w14:paraId="05F6DA04">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2449" w:type="dxa"/>
            <w:noWrap w:val="0"/>
            <w:vAlign w:val="center"/>
          </w:tcPr>
          <w:p w14:paraId="7C0B118E">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617" w:type="dxa"/>
            <w:noWrap w:val="0"/>
            <w:vAlign w:val="center"/>
          </w:tcPr>
          <w:p w14:paraId="410EBA29">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r>
      <w:tr w14:paraId="0B095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819" w:type="dxa"/>
            <w:noWrap w:val="0"/>
            <w:vAlign w:val="center"/>
          </w:tcPr>
          <w:p w14:paraId="6048D2B0">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600" w:type="dxa"/>
            <w:noWrap w:val="0"/>
            <w:vAlign w:val="center"/>
          </w:tcPr>
          <w:p w14:paraId="2EE140DA">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134" w:type="dxa"/>
            <w:noWrap w:val="0"/>
            <w:vAlign w:val="center"/>
          </w:tcPr>
          <w:p w14:paraId="106DC6E0">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2449" w:type="dxa"/>
            <w:noWrap w:val="0"/>
            <w:vAlign w:val="center"/>
          </w:tcPr>
          <w:p w14:paraId="4515E1AF">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617" w:type="dxa"/>
            <w:noWrap w:val="0"/>
            <w:vAlign w:val="center"/>
          </w:tcPr>
          <w:p w14:paraId="7B02BE65">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r>
      <w:tr w14:paraId="2CF66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819" w:type="dxa"/>
            <w:noWrap w:val="0"/>
            <w:vAlign w:val="center"/>
          </w:tcPr>
          <w:p w14:paraId="3CB7059A">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600" w:type="dxa"/>
            <w:noWrap w:val="0"/>
            <w:vAlign w:val="center"/>
          </w:tcPr>
          <w:p w14:paraId="0802F189">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134" w:type="dxa"/>
            <w:noWrap w:val="0"/>
            <w:vAlign w:val="center"/>
          </w:tcPr>
          <w:p w14:paraId="5220EDD9">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2449" w:type="dxa"/>
            <w:noWrap w:val="0"/>
            <w:vAlign w:val="center"/>
          </w:tcPr>
          <w:p w14:paraId="207073E3">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c>
          <w:tcPr>
            <w:tcW w:w="1617" w:type="dxa"/>
            <w:noWrap w:val="0"/>
            <w:vAlign w:val="center"/>
          </w:tcPr>
          <w:p w14:paraId="14D987E5">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宋体" w:hAnsi="宋体" w:eastAsia="宋体" w:cs="宋体"/>
                <w:sz w:val="24"/>
                <w:szCs w:val="24"/>
              </w:rPr>
            </w:pPr>
          </w:p>
        </w:tc>
      </w:tr>
    </w:tbl>
    <w:p w14:paraId="695A59D8"/>
    <w:p w14:paraId="0BEE0C81">
      <w:pPr>
        <w:pStyle w:val="3"/>
        <w:keepNext w:val="0"/>
        <w:keepLines w:val="0"/>
        <w:pageBreakBefore w:val="0"/>
        <w:widowControl/>
        <w:kinsoku/>
        <w:wordWrap/>
        <w:overflowPunct w:val="0"/>
        <w:topLinePunct w:val="0"/>
        <w:autoSpaceDE w:val="0"/>
        <w:autoSpaceDN w:val="0"/>
        <w:bidi w:val="0"/>
        <w:adjustRightInd w:val="0"/>
        <w:snapToGrid w:val="0"/>
        <w:spacing w:line="560" w:lineRule="exact"/>
        <w:ind w:right="0"/>
        <w:jc w:val="both"/>
        <w:textAlignment w:val="baseline"/>
        <w:rPr>
          <w:rFonts w:hint="default" w:ascii="仿宋_GB2312" w:hAnsi="仿宋_GB2312" w:eastAsia="仿宋_GB2312" w:cs="仿宋_GB2312"/>
          <w:spacing w:val="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493B04"/>
    <w:rsid w:val="17CC0594"/>
    <w:rsid w:val="1F136FCE"/>
    <w:rsid w:val="2C970295"/>
    <w:rsid w:val="373830F8"/>
    <w:rsid w:val="4C1D24EE"/>
    <w:rsid w:val="61E324A5"/>
    <w:rsid w:val="78493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_Style 1"/>
    <w:basedOn w:val="1"/>
    <w:qFormat/>
    <w:uiPriority w:val="0"/>
    <w:pPr>
      <w:ind w:firstLine="200" w:firstLineChars="200"/>
    </w:pPr>
    <w:rPr>
      <w:rFonts w:ascii="宋体" w:hAnsi="宋体" w:eastAsia="仿宋_GB2312"/>
      <w:sz w:val="32"/>
      <w:szCs w:val="32"/>
    </w:r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Table Paragraph"/>
    <w:basedOn w:val="1"/>
    <w:qFormat/>
    <w:uiPriority w:val="1"/>
    <w:rPr>
      <w:rFonts w:ascii="仿宋" w:hAnsi="仿宋" w:eastAsia="仿宋" w:cs="仿宋"/>
    </w:rPr>
  </w:style>
  <w:style w:type="paragraph" w:customStyle="1" w:styleId="8">
    <w:name w:val="BodyText1I2"/>
    <w:basedOn w:val="9"/>
    <w:qFormat/>
    <w:uiPriority w:val="0"/>
    <w:pPr>
      <w:spacing w:line="560" w:lineRule="exact"/>
      <w:ind w:firstLine="420" w:firstLineChars="200"/>
      <w:jc w:val="both"/>
    </w:pPr>
  </w:style>
  <w:style w:type="paragraph" w:customStyle="1" w:styleId="9">
    <w:name w:val="BodyTextIndent"/>
    <w:basedOn w:val="1"/>
    <w:qFormat/>
    <w:uiPriority w:val="0"/>
    <w:pPr>
      <w:spacing w:line="560" w:lineRule="exact"/>
      <w:ind w:firstLine="640" w:firstLineChars="200"/>
      <w:jc w:val="both"/>
    </w:pPr>
    <w:rPr>
      <w:rFonts w:ascii="Times New Roman" w:hAnsi="Times New Roman" w:eastAsia="仿宋_GB2312"/>
      <w:kern w:val="2"/>
      <w:sz w:val="32"/>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3152</Words>
  <Characters>3376</Characters>
  <Lines>0</Lines>
  <Paragraphs>0</Paragraphs>
  <TotalTime>150</TotalTime>
  <ScaleCrop>false</ScaleCrop>
  <LinksUpToDate>false</LinksUpToDate>
  <CharactersWithSpaces>3457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2026-01-23T10:14:00Z</dcterms:created>
  <dc:creator>'Mojito</dc:creator>
  <cp:lastModifiedBy>高阳商务</cp:lastModifiedBy>
  <cp:lastPrinted>2026-01-26T01:45:00Z</cp:lastPrinted>
  <dcterms:modified xsi:type="dcterms:W3CDTF">2026-01-26T08:30:59Z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F379A7F9C868415CB8640FDB8A6B75E4_13</vt:lpwstr>
  </property>
  <property fmtid="{D5CDD505-2E9C-101B-9397-08002B2CF9AE}" pid="4" name="KSOTemplateDocerSaveRecord">
    <vt:lpwstr>eyJoZGlkIjoiYTljODlkOGEwMGIzNjYwMzRlNWI5NzE4MTE5OGJlN2QiLCJ1c2VySWQiOiIzOTM5MDYyMTQifQ==</vt:lpwstr>
  </property>
</Properties>
</file>