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bookmarkStart w:id="1" w:name="_GoBack"/>
      <w:bookmarkEnd w:id="1"/>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一、高阳县应急管理局收支预算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r>
        <w:rPr>
          <w:color w:val="FF0000"/>
          <w:sz w:val="24"/>
        </w:rPr>
        <w:t>.</w:t>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一、高阳县应急管理局收支预算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426001高阳县应急管理局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716.51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44.11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708.12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716.51</w:t>
            </w:r>
          </w:p>
        </w:tc>
        <w:tc>
          <w:tcPr>
            <w:tcW w:w="4535" w:type="dxa"/>
            <w:vAlign w:val="center"/>
          </w:tcPr>
          <w:p>
            <w:pPr>
              <w:pStyle w:val="14"/>
            </w:pPr>
            <w:r>
              <w:t>本年支出合计</w:t>
            </w:r>
          </w:p>
        </w:tc>
        <w:tc>
          <w:tcPr>
            <w:tcW w:w="2126" w:type="dxa"/>
            <w:vAlign w:val="center"/>
          </w:tcPr>
          <w:p>
            <w:pPr>
              <w:pStyle w:val="15"/>
            </w:pPr>
            <w:r>
              <w:t>778.06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61.55</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778.06</w:t>
            </w:r>
          </w:p>
        </w:tc>
        <w:tc>
          <w:tcPr>
            <w:tcW w:w="4535" w:type="dxa"/>
            <w:vAlign w:val="center"/>
          </w:tcPr>
          <w:p>
            <w:pPr>
              <w:pStyle w:val="14"/>
            </w:pPr>
            <w:r>
              <w:t>支出总计</w:t>
            </w:r>
          </w:p>
        </w:tc>
        <w:tc>
          <w:tcPr>
            <w:tcW w:w="2126" w:type="dxa"/>
            <w:vAlign w:val="center"/>
          </w:tcPr>
          <w:p>
            <w:pPr>
              <w:pStyle w:val="15"/>
            </w:pPr>
            <w:r>
              <w:t>778.06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426001高阳县应急管理局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778.06</w:t>
            </w:r>
          </w:p>
        </w:tc>
        <w:tc>
          <w:tcPr>
            <w:tcW w:w="1134" w:type="dxa"/>
            <w:vAlign w:val="center"/>
          </w:tcPr>
          <w:p>
            <w:pPr>
              <w:pStyle w:val="15"/>
            </w:pPr>
            <w:r>
              <w:t>716.51</w:t>
            </w:r>
          </w:p>
        </w:tc>
        <w:tc>
          <w:tcPr>
            <w:tcW w:w="1134" w:type="dxa"/>
            <w:vAlign w:val="center"/>
          </w:tcPr>
          <w:p>
            <w:pPr>
              <w:pStyle w:val="15"/>
            </w:pPr>
            <w:r>
              <w:t>716.51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44.11</w:t>
            </w:r>
          </w:p>
        </w:tc>
        <w:tc>
          <w:tcPr>
            <w:tcW w:w="1134" w:type="dxa"/>
            <w:vAlign w:val="center"/>
          </w:tcPr>
          <w:p>
            <w:pPr>
              <w:pStyle w:val="11"/>
            </w:pPr>
            <w:r>
              <w:t>44.11</w:t>
            </w:r>
          </w:p>
        </w:tc>
        <w:tc>
          <w:tcPr>
            <w:tcW w:w="1134" w:type="dxa"/>
            <w:vAlign w:val="center"/>
          </w:tcPr>
          <w:p>
            <w:pPr>
              <w:pStyle w:val="11"/>
            </w:pPr>
            <w:r>
              <w:t>44.11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42.99</w:t>
            </w:r>
          </w:p>
        </w:tc>
        <w:tc>
          <w:tcPr>
            <w:tcW w:w="1134" w:type="dxa"/>
            <w:vAlign w:val="center"/>
          </w:tcPr>
          <w:p>
            <w:pPr>
              <w:pStyle w:val="11"/>
            </w:pPr>
            <w:r>
              <w:t>42.99</w:t>
            </w:r>
          </w:p>
        </w:tc>
        <w:tc>
          <w:tcPr>
            <w:tcW w:w="1134" w:type="dxa"/>
            <w:vAlign w:val="center"/>
          </w:tcPr>
          <w:p>
            <w:pPr>
              <w:pStyle w:val="11"/>
            </w:pPr>
            <w:r>
              <w:t>42.99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6.79</w:t>
            </w:r>
          </w:p>
        </w:tc>
        <w:tc>
          <w:tcPr>
            <w:tcW w:w="1134" w:type="dxa"/>
            <w:vAlign w:val="center"/>
          </w:tcPr>
          <w:p>
            <w:pPr>
              <w:pStyle w:val="11"/>
            </w:pPr>
            <w:r>
              <w:t>6.79</w:t>
            </w:r>
          </w:p>
        </w:tc>
        <w:tc>
          <w:tcPr>
            <w:tcW w:w="1134" w:type="dxa"/>
            <w:vAlign w:val="center"/>
          </w:tcPr>
          <w:p>
            <w:pPr>
              <w:pStyle w:val="11"/>
            </w:pPr>
            <w:r>
              <w:t>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24.13</w:t>
            </w:r>
          </w:p>
        </w:tc>
        <w:tc>
          <w:tcPr>
            <w:tcW w:w="1134" w:type="dxa"/>
            <w:vAlign w:val="center"/>
          </w:tcPr>
          <w:p>
            <w:pPr>
              <w:pStyle w:val="11"/>
            </w:pPr>
            <w:r>
              <w:t>24.13</w:t>
            </w:r>
          </w:p>
        </w:tc>
        <w:tc>
          <w:tcPr>
            <w:tcW w:w="1134" w:type="dxa"/>
            <w:vAlign w:val="center"/>
          </w:tcPr>
          <w:p>
            <w:pPr>
              <w:pStyle w:val="11"/>
            </w:pPr>
            <w:r>
              <w:t>24.13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12.07</w:t>
            </w:r>
          </w:p>
        </w:tc>
        <w:tc>
          <w:tcPr>
            <w:tcW w:w="1134" w:type="dxa"/>
            <w:vAlign w:val="center"/>
          </w:tcPr>
          <w:p>
            <w:pPr>
              <w:pStyle w:val="11"/>
            </w:pPr>
            <w:r>
              <w:t>12.07</w:t>
            </w:r>
          </w:p>
        </w:tc>
        <w:tc>
          <w:tcPr>
            <w:tcW w:w="1134" w:type="dxa"/>
            <w:vAlign w:val="center"/>
          </w:tcPr>
          <w:p>
            <w:pPr>
              <w:pStyle w:val="11"/>
            </w:pPr>
            <w:r>
              <w:t>12.07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1.12</w:t>
            </w:r>
          </w:p>
        </w:tc>
        <w:tc>
          <w:tcPr>
            <w:tcW w:w="1134" w:type="dxa"/>
            <w:vAlign w:val="center"/>
          </w:tcPr>
          <w:p>
            <w:pPr>
              <w:pStyle w:val="11"/>
            </w:pPr>
            <w:r>
              <w:t>1.12</w:t>
            </w:r>
          </w:p>
        </w:tc>
        <w:tc>
          <w:tcPr>
            <w:tcW w:w="1134" w:type="dxa"/>
            <w:vAlign w:val="center"/>
          </w:tcPr>
          <w:p>
            <w:pPr>
              <w:pStyle w:val="11"/>
            </w:pPr>
            <w:r>
              <w:t>1.12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2082701</w:t>
            </w:r>
          </w:p>
        </w:tc>
        <w:tc>
          <w:tcPr>
            <w:tcW w:w="1559" w:type="dxa"/>
            <w:vAlign w:val="center"/>
          </w:tcPr>
          <w:p>
            <w:pPr>
              <w:pStyle w:val="12"/>
            </w:pPr>
            <w:r>
              <w:t>财政对失业保险基金的补助</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r>
              <w:t>0.44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0.68</w:t>
            </w:r>
          </w:p>
        </w:tc>
        <w:tc>
          <w:tcPr>
            <w:tcW w:w="1134" w:type="dxa"/>
            <w:vAlign w:val="center"/>
          </w:tcPr>
          <w:p>
            <w:pPr>
              <w:pStyle w:val="11"/>
            </w:pPr>
            <w:r>
              <w:t>0.68</w:t>
            </w:r>
          </w:p>
        </w:tc>
        <w:tc>
          <w:tcPr>
            <w:tcW w:w="1134" w:type="dxa"/>
            <w:vAlign w:val="center"/>
          </w:tcPr>
          <w:p>
            <w:pPr>
              <w:pStyle w:val="11"/>
            </w:pPr>
            <w:r>
              <w:t>0.68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10.12</w:t>
            </w:r>
          </w:p>
        </w:tc>
        <w:tc>
          <w:tcPr>
            <w:tcW w:w="1134" w:type="dxa"/>
            <w:vAlign w:val="center"/>
          </w:tcPr>
          <w:p>
            <w:pPr>
              <w:pStyle w:val="11"/>
            </w:pPr>
            <w:r>
              <w:t>10.12</w:t>
            </w:r>
          </w:p>
        </w:tc>
        <w:tc>
          <w:tcPr>
            <w:tcW w:w="1134" w:type="dxa"/>
            <w:vAlign w:val="center"/>
          </w:tcPr>
          <w:p>
            <w:pPr>
              <w:pStyle w:val="11"/>
            </w:pPr>
            <w:r>
              <w:t>10.12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10.12</w:t>
            </w:r>
          </w:p>
        </w:tc>
        <w:tc>
          <w:tcPr>
            <w:tcW w:w="1134" w:type="dxa"/>
            <w:vAlign w:val="center"/>
          </w:tcPr>
          <w:p>
            <w:pPr>
              <w:pStyle w:val="11"/>
            </w:pPr>
            <w:r>
              <w:t>10.12</w:t>
            </w:r>
          </w:p>
        </w:tc>
        <w:tc>
          <w:tcPr>
            <w:tcW w:w="1134" w:type="dxa"/>
            <w:vAlign w:val="center"/>
          </w:tcPr>
          <w:p>
            <w:pPr>
              <w:pStyle w:val="11"/>
            </w:pPr>
            <w:r>
              <w:t>10.12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5.41</w:t>
            </w:r>
          </w:p>
        </w:tc>
        <w:tc>
          <w:tcPr>
            <w:tcW w:w="1134" w:type="dxa"/>
            <w:vAlign w:val="center"/>
          </w:tcPr>
          <w:p>
            <w:pPr>
              <w:pStyle w:val="11"/>
            </w:pPr>
            <w:r>
              <w:t>5.41</w:t>
            </w:r>
          </w:p>
        </w:tc>
        <w:tc>
          <w:tcPr>
            <w:tcW w:w="1134" w:type="dxa"/>
            <w:vAlign w:val="center"/>
          </w:tcPr>
          <w:p>
            <w:pPr>
              <w:pStyle w:val="11"/>
            </w:pPr>
            <w:r>
              <w:t>5.41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4.71</w:t>
            </w:r>
          </w:p>
        </w:tc>
        <w:tc>
          <w:tcPr>
            <w:tcW w:w="1134" w:type="dxa"/>
            <w:vAlign w:val="center"/>
          </w:tcPr>
          <w:p>
            <w:pPr>
              <w:pStyle w:val="11"/>
            </w:pPr>
            <w:r>
              <w:t>4.71</w:t>
            </w:r>
          </w:p>
        </w:tc>
        <w:tc>
          <w:tcPr>
            <w:tcW w:w="1134" w:type="dxa"/>
            <w:vAlign w:val="center"/>
          </w:tcPr>
          <w:p>
            <w:pPr>
              <w:pStyle w:val="11"/>
            </w:pPr>
            <w:r>
              <w:t>4.71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r>
              <w:t>15.71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708.12</w:t>
            </w:r>
          </w:p>
        </w:tc>
        <w:tc>
          <w:tcPr>
            <w:tcW w:w="1134" w:type="dxa"/>
            <w:vAlign w:val="center"/>
          </w:tcPr>
          <w:p>
            <w:pPr>
              <w:pStyle w:val="11"/>
            </w:pPr>
            <w:r>
              <w:t>646.58</w:t>
            </w:r>
          </w:p>
        </w:tc>
        <w:tc>
          <w:tcPr>
            <w:tcW w:w="1134" w:type="dxa"/>
            <w:vAlign w:val="center"/>
          </w:tcPr>
          <w:p>
            <w:pPr>
              <w:pStyle w:val="11"/>
            </w:pPr>
            <w:r>
              <w:t>646.58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634.12</w:t>
            </w:r>
          </w:p>
        </w:tc>
        <w:tc>
          <w:tcPr>
            <w:tcW w:w="1134" w:type="dxa"/>
            <w:vAlign w:val="center"/>
          </w:tcPr>
          <w:p>
            <w:pPr>
              <w:pStyle w:val="11"/>
            </w:pPr>
            <w:r>
              <w:t>572.58</w:t>
            </w:r>
          </w:p>
        </w:tc>
        <w:tc>
          <w:tcPr>
            <w:tcW w:w="1134" w:type="dxa"/>
            <w:vAlign w:val="center"/>
          </w:tcPr>
          <w:p>
            <w:pPr>
              <w:pStyle w:val="11"/>
            </w:pPr>
            <w:r>
              <w:t>572.58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144.22</w:t>
            </w:r>
          </w:p>
        </w:tc>
        <w:tc>
          <w:tcPr>
            <w:tcW w:w="1134" w:type="dxa"/>
            <w:vAlign w:val="center"/>
          </w:tcPr>
          <w:p>
            <w:pPr>
              <w:pStyle w:val="11"/>
            </w:pPr>
            <w:r>
              <w:t>144.22</w:t>
            </w:r>
          </w:p>
        </w:tc>
        <w:tc>
          <w:tcPr>
            <w:tcW w:w="1134" w:type="dxa"/>
            <w:vAlign w:val="center"/>
          </w:tcPr>
          <w:p>
            <w:pPr>
              <w:pStyle w:val="11"/>
            </w:pPr>
            <w:r>
              <w:t>144.22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91.55</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r>
              <w:t>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2240150</w:t>
            </w:r>
          </w:p>
        </w:tc>
        <w:tc>
          <w:tcPr>
            <w:tcW w:w="1559" w:type="dxa"/>
            <w:vAlign w:val="center"/>
          </w:tcPr>
          <w:p>
            <w:pPr>
              <w:pStyle w:val="12"/>
            </w:pPr>
            <w:r>
              <w:t>事业运行</w:t>
            </w:r>
          </w:p>
        </w:tc>
        <w:tc>
          <w:tcPr>
            <w:tcW w:w="1134" w:type="dxa"/>
            <w:vAlign w:val="center"/>
          </w:tcPr>
          <w:p>
            <w:pPr>
              <w:pStyle w:val="11"/>
            </w:pPr>
            <w:r>
              <w:t>349.87</w:t>
            </w:r>
          </w:p>
        </w:tc>
        <w:tc>
          <w:tcPr>
            <w:tcW w:w="1134" w:type="dxa"/>
            <w:vAlign w:val="center"/>
          </w:tcPr>
          <w:p>
            <w:pPr>
              <w:pStyle w:val="11"/>
            </w:pPr>
            <w:r>
              <w:t>349.87</w:t>
            </w:r>
          </w:p>
        </w:tc>
        <w:tc>
          <w:tcPr>
            <w:tcW w:w="1134" w:type="dxa"/>
            <w:vAlign w:val="center"/>
          </w:tcPr>
          <w:p>
            <w:pPr>
              <w:pStyle w:val="11"/>
            </w:pPr>
            <w:r>
              <w:t>349.87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2240199</w:t>
            </w:r>
          </w:p>
        </w:tc>
        <w:tc>
          <w:tcPr>
            <w:tcW w:w="1559" w:type="dxa"/>
            <w:vAlign w:val="center"/>
          </w:tcPr>
          <w:p>
            <w:pPr>
              <w:pStyle w:val="12"/>
            </w:pPr>
            <w:r>
              <w:t>其他应急管理支出</w:t>
            </w:r>
          </w:p>
        </w:tc>
        <w:tc>
          <w:tcPr>
            <w:tcW w:w="1134" w:type="dxa"/>
            <w:vAlign w:val="center"/>
          </w:tcPr>
          <w:p>
            <w:pPr>
              <w:pStyle w:val="11"/>
            </w:pPr>
            <w:r>
              <w:t>25.50</w:t>
            </w:r>
          </w:p>
        </w:tc>
        <w:tc>
          <w:tcPr>
            <w:tcW w:w="1134" w:type="dxa"/>
            <w:vAlign w:val="center"/>
          </w:tcPr>
          <w:p>
            <w:pPr>
              <w:pStyle w:val="11"/>
            </w:pPr>
            <w:r>
              <w:t>25.50</w:t>
            </w:r>
          </w:p>
        </w:tc>
        <w:tc>
          <w:tcPr>
            <w:tcW w:w="1134" w:type="dxa"/>
            <w:vAlign w:val="center"/>
          </w:tcPr>
          <w:p>
            <w:pPr>
              <w:pStyle w:val="11"/>
            </w:pPr>
            <w:r>
              <w:t>25.50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426001高阳县应急管理局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778.06</w:t>
            </w:r>
          </w:p>
        </w:tc>
        <w:tc>
          <w:tcPr>
            <w:tcW w:w="1361" w:type="dxa"/>
            <w:vAlign w:val="center"/>
          </w:tcPr>
          <w:p>
            <w:pPr>
              <w:pStyle w:val="15"/>
            </w:pPr>
            <w:r>
              <w:t>564.02</w:t>
            </w:r>
          </w:p>
        </w:tc>
        <w:tc>
          <w:tcPr>
            <w:tcW w:w="1361" w:type="dxa"/>
            <w:vAlign w:val="center"/>
          </w:tcPr>
          <w:p>
            <w:pPr>
              <w:pStyle w:val="15"/>
            </w:pPr>
            <w:r>
              <w:t>214.04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44.11</w:t>
            </w:r>
          </w:p>
        </w:tc>
        <w:tc>
          <w:tcPr>
            <w:tcW w:w="1361" w:type="dxa"/>
            <w:vAlign w:val="center"/>
          </w:tcPr>
          <w:p>
            <w:pPr>
              <w:pStyle w:val="11"/>
            </w:pPr>
            <w:r>
              <w:t>44.11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42.99</w:t>
            </w:r>
          </w:p>
        </w:tc>
        <w:tc>
          <w:tcPr>
            <w:tcW w:w="1361" w:type="dxa"/>
            <w:vAlign w:val="center"/>
          </w:tcPr>
          <w:p>
            <w:pPr>
              <w:pStyle w:val="11"/>
            </w:pPr>
            <w:r>
              <w:t>42.99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6.79</w:t>
            </w:r>
          </w:p>
        </w:tc>
        <w:tc>
          <w:tcPr>
            <w:tcW w:w="1361" w:type="dxa"/>
            <w:vAlign w:val="center"/>
          </w:tcPr>
          <w:p>
            <w:pPr>
              <w:pStyle w:val="11"/>
            </w:pPr>
            <w:r>
              <w:t>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24.13</w:t>
            </w:r>
          </w:p>
        </w:tc>
        <w:tc>
          <w:tcPr>
            <w:tcW w:w="1361" w:type="dxa"/>
            <w:vAlign w:val="center"/>
          </w:tcPr>
          <w:p>
            <w:pPr>
              <w:pStyle w:val="11"/>
            </w:pPr>
            <w:r>
              <w:t>24.13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12.07</w:t>
            </w:r>
          </w:p>
        </w:tc>
        <w:tc>
          <w:tcPr>
            <w:tcW w:w="1361" w:type="dxa"/>
            <w:vAlign w:val="center"/>
          </w:tcPr>
          <w:p>
            <w:pPr>
              <w:pStyle w:val="11"/>
            </w:pPr>
            <w:r>
              <w:t>12.07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1.12</w:t>
            </w:r>
          </w:p>
        </w:tc>
        <w:tc>
          <w:tcPr>
            <w:tcW w:w="1361" w:type="dxa"/>
            <w:vAlign w:val="center"/>
          </w:tcPr>
          <w:p>
            <w:pPr>
              <w:pStyle w:val="11"/>
            </w:pPr>
            <w:r>
              <w:t>1.12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2082701</w:t>
            </w:r>
          </w:p>
        </w:tc>
        <w:tc>
          <w:tcPr>
            <w:tcW w:w="4535" w:type="dxa"/>
            <w:vAlign w:val="center"/>
          </w:tcPr>
          <w:p>
            <w:pPr>
              <w:pStyle w:val="12"/>
            </w:pPr>
            <w:r>
              <w:t>财政对失业保险基金的补助</w:t>
            </w:r>
          </w:p>
        </w:tc>
        <w:tc>
          <w:tcPr>
            <w:tcW w:w="1361" w:type="dxa"/>
            <w:vAlign w:val="center"/>
          </w:tcPr>
          <w:p>
            <w:pPr>
              <w:pStyle w:val="11"/>
            </w:pPr>
            <w:r>
              <w:t>0.44</w:t>
            </w:r>
          </w:p>
        </w:tc>
        <w:tc>
          <w:tcPr>
            <w:tcW w:w="1361" w:type="dxa"/>
            <w:vAlign w:val="center"/>
          </w:tcPr>
          <w:p>
            <w:pPr>
              <w:pStyle w:val="11"/>
            </w:pPr>
            <w:r>
              <w:t>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0.68</w:t>
            </w:r>
          </w:p>
        </w:tc>
        <w:tc>
          <w:tcPr>
            <w:tcW w:w="1361" w:type="dxa"/>
            <w:vAlign w:val="center"/>
          </w:tcPr>
          <w:p>
            <w:pPr>
              <w:pStyle w:val="11"/>
            </w:pPr>
            <w:r>
              <w:t>0.68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10.12</w:t>
            </w:r>
          </w:p>
        </w:tc>
        <w:tc>
          <w:tcPr>
            <w:tcW w:w="1361" w:type="dxa"/>
            <w:vAlign w:val="center"/>
          </w:tcPr>
          <w:p>
            <w:pPr>
              <w:pStyle w:val="11"/>
            </w:pPr>
            <w:r>
              <w:t>10.12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10.12</w:t>
            </w:r>
          </w:p>
        </w:tc>
        <w:tc>
          <w:tcPr>
            <w:tcW w:w="1361" w:type="dxa"/>
            <w:vAlign w:val="center"/>
          </w:tcPr>
          <w:p>
            <w:pPr>
              <w:pStyle w:val="11"/>
            </w:pPr>
            <w:r>
              <w:t>10.12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5.41</w:t>
            </w:r>
          </w:p>
        </w:tc>
        <w:tc>
          <w:tcPr>
            <w:tcW w:w="1361" w:type="dxa"/>
            <w:vAlign w:val="center"/>
          </w:tcPr>
          <w:p>
            <w:pPr>
              <w:pStyle w:val="11"/>
            </w:pPr>
            <w:r>
              <w:t>5.41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4.71</w:t>
            </w:r>
          </w:p>
        </w:tc>
        <w:tc>
          <w:tcPr>
            <w:tcW w:w="1361" w:type="dxa"/>
            <w:vAlign w:val="center"/>
          </w:tcPr>
          <w:p>
            <w:pPr>
              <w:pStyle w:val="11"/>
            </w:pPr>
            <w:r>
              <w:t>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15.71</w:t>
            </w:r>
          </w:p>
        </w:tc>
        <w:tc>
          <w:tcPr>
            <w:tcW w:w="1361" w:type="dxa"/>
            <w:vAlign w:val="center"/>
          </w:tcPr>
          <w:p>
            <w:pPr>
              <w:pStyle w:val="11"/>
            </w:pPr>
            <w:r>
              <w:t>15.71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15.71</w:t>
            </w:r>
          </w:p>
        </w:tc>
        <w:tc>
          <w:tcPr>
            <w:tcW w:w="1361" w:type="dxa"/>
            <w:vAlign w:val="center"/>
          </w:tcPr>
          <w:p>
            <w:pPr>
              <w:pStyle w:val="11"/>
            </w:pPr>
            <w:r>
              <w:t>15.71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15.71</w:t>
            </w:r>
          </w:p>
        </w:tc>
        <w:tc>
          <w:tcPr>
            <w:tcW w:w="1361" w:type="dxa"/>
            <w:vAlign w:val="center"/>
          </w:tcPr>
          <w:p>
            <w:pPr>
              <w:pStyle w:val="11"/>
            </w:pPr>
            <w:r>
              <w:t>15.71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708.12</w:t>
            </w:r>
          </w:p>
        </w:tc>
        <w:tc>
          <w:tcPr>
            <w:tcW w:w="1361" w:type="dxa"/>
            <w:vAlign w:val="center"/>
          </w:tcPr>
          <w:p>
            <w:pPr>
              <w:pStyle w:val="11"/>
            </w:pPr>
            <w:r>
              <w:t>494.08</w:t>
            </w:r>
          </w:p>
        </w:tc>
        <w:tc>
          <w:tcPr>
            <w:tcW w:w="1361" w:type="dxa"/>
            <w:vAlign w:val="center"/>
          </w:tcPr>
          <w:p>
            <w:pPr>
              <w:pStyle w:val="11"/>
            </w:pPr>
            <w:r>
              <w:t>214.04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634.12</w:t>
            </w:r>
          </w:p>
        </w:tc>
        <w:tc>
          <w:tcPr>
            <w:tcW w:w="1361" w:type="dxa"/>
            <w:vAlign w:val="center"/>
          </w:tcPr>
          <w:p>
            <w:pPr>
              <w:pStyle w:val="11"/>
            </w:pPr>
            <w:r>
              <w:t>494.08</w:t>
            </w:r>
          </w:p>
        </w:tc>
        <w:tc>
          <w:tcPr>
            <w:tcW w:w="1361" w:type="dxa"/>
            <w:vAlign w:val="center"/>
          </w:tcPr>
          <w:p>
            <w:pPr>
              <w:pStyle w:val="11"/>
            </w:pPr>
            <w:r>
              <w:t>140.04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144.22</w:t>
            </w:r>
          </w:p>
        </w:tc>
        <w:tc>
          <w:tcPr>
            <w:tcW w:w="1361" w:type="dxa"/>
            <w:vAlign w:val="center"/>
          </w:tcPr>
          <w:p>
            <w:pPr>
              <w:pStyle w:val="11"/>
            </w:pPr>
            <w:r>
              <w:t>144.22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91.55</w:t>
            </w:r>
          </w:p>
        </w:tc>
        <w:tc>
          <w:tcPr>
            <w:tcW w:w="1361" w:type="dxa"/>
            <w:vAlign w:val="center"/>
          </w:tcPr>
          <w:p>
            <w:pPr>
              <w:pStyle w:val="11"/>
            </w:pPr>
          </w:p>
        </w:tc>
        <w:tc>
          <w:tcPr>
            <w:tcW w:w="1361" w:type="dxa"/>
            <w:vAlign w:val="center"/>
          </w:tcPr>
          <w:p>
            <w:pPr>
              <w:pStyle w:val="11"/>
            </w:pPr>
            <w:r>
              <w:t>91.55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r>
              <w:t>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2240150</w:t>
            </w:r>
          </w:p>
        </w:tc>
        <w:tc>
          <w:tcPr>
            <w:tcW w:w="4535" w:type="dxa"/>
            <w:vAlign w:val="center"/>
          </w:tcPr>
          <w:p>
            <w:pPr>
              <w:pStyle w:val="12"/>
            </w:pPr>
            <w:r>
              <w:t>事业运行</w:t>
            </w:r>
          </w:p>
        </w:tc>
        <w:tc>
          <w:tcPr>
            <w:tcW w:w="1361" w:type="dxa"/>
            <w:vAlign w:val="center"/>
          </w:tcPr>
          <w:p>
            <w:pPr>
              <w:pStyle w:val="11"/>
            </w:pPr>
            <w:r>
              <w:t>349.87</w:t>
            </w:r>
          </w:p>
        </w:tc>
        <w:tc>
          <w:tcPr>
            <w:tcW w:w="1361" w:type="dxa"/>
            <w:vAlign w:val="center"/>
          </w:tcPr>
          <w:p>
            <w:pPr>
              <w:pStyle w:val="11"/>
            </w:pPr>
            <w:r>
              <w:t>349.87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2240199</w:t>
            </w:r>
          </w:p>
        </w:tc>
        <w:tc>
          <w:tcPr>
            <w:tcW w:w="4535" w:type="dxa"/>
            <w:vAlign w:val="center"/>
          </w:tcPr>
          <w:p>
            <w:pPr>
              <w:pStyle w:val="12"/>
            </w:pPr>
            <w:r>
              <w:t>其他应急管理支出</w:t>
            </w:r>
          </w:p>
        </w:tc>
        <w:tc>
          <w:tcPr>
            <w:tcW w:w="1361" w:type="dxa"/>
            <w:vAlign w:val="center"/>
          </w:tcPr>
          <w:p>
            <w:pPr>
              <w:pStyle w:val="11"/>
            </w:pPr>
            <w:r>
              <w:t>25.50</w:t>
            </w:r>
          </w:p>
        </w:tc>
        <w:tc>
          <w:tcPr>
            <w:tcW w:w="1361" w:type="dxa"/>
            <w:vAlign w:val="center"/>
          </w:tcPr>
          <w:p>
            <w:pPr>
              <w:pStyle w:val="11"/>
            </w:pPr>
          </w:p>
        </w:tc>
        <w:tc>
          <w:tcPr>
            <w:tcW w:w="1361" w:type="dxa"/>
            <w:vAlign w:val="center"/>
          </w:tcPr>
          <w:p>
            <w:pPr>
              <w:pStyle w:val="11"/>
            </w:pPr>
            <w:r>
              <w:t>25.50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426001高阳县应急管理局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716.51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44.11</w:t>
            </w:r>
          </w:p>
        </w:tc>
        <w:tc>
          <w:tcPr>
            <w:tcW w:w="1474" w:type="dxa"/>
            <w:vAlign w:val="center"/>
          </w:tcPr>
          <w:p>
            <w:pPr>
              <w:pStyle w:val="11"/>
            </w:pPr>
            <w:r>
              <w:t>44.11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10.12</w:t>
            </w:r>
          </w:p>
        </w:tc>
        <w:tc>
          <w:tcPr>
            <w:tcW w:w="1474" w:type="dxa"/>
            <w:vAlign w:val="center"/>
          </w:tcPr>
          <w:p>
            <w:pPr>
              <w:pStyle w:val="11"/>
            </w:pPr>
            <w:r>
              <w:t>10.12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15.71</w:t>
            </w:r>
          </w:p>
        </w:tc>
        <w:tc>
          <w:tcPr>
            <w:tcW w:w="1474" w:type="dxa"/>
            <w:vAlign w:val="center"/>
          </w:tcPr>
          <w:p>
            <w:pPr>
              <w:pStyle w:val="11"/>
            </w:pPr>
            <w:r>
              <w:t>15.71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708.12</w:t>
            </w:r>
          </w:p>
        </w:tc>
        <w:tc>
          <w:tcPr>
            <w:tcW w:w="1474" w:type="dxa"/>
            <w:vAlign w:val="center"/>
          </w:tcPr>
          <w:p>
            <w:pPr>
              <w:pStyle w:val="11"/>
            </w:pPr>
            <w:r>
              <w:t>708.12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716.51</w:t>
            </w:r>
          </w:p>
        </w:tc>
        <w:tc>
          <w:tcPr>
            <w:tcW w:w="3402" w:type="dxa"/>
            <w:vAlign w:val="center"/>
          </w:tcPr>
          <w:p>
            <w:pPr>
              <w:pStyle w:val="14"/>
            </w:pPr>
            <w:r>
              <w:t>本年支出合计</w:t>
            </w:r>
          </w:p>
        </w:tc>
        <w:tc>
          <w:tcPr>
            <w:tcW w:w="1474" w:type="dxa"/>
            <w:vAlign w:val="center"/>
          </w:tcPr>
          <w:p>
            <w:pPr>
              <w:pStyle w:val="15"/>
            </w:pPr>
            <w:r>
              <w:t>778.06</w:t>
            </w:r>
          </w:p>
        </w:tc>
        <w:tc>
          <w:tcPr>
            <w:tcW w:w="1474" w:type="dxa"/>
            <w:vAlign w:val="center"/>
          </w:tcPr>
          <w:p>
            <w:pPr>
              <w:pStyle w:val="15"/>
            </w:pPr>
            <w:r>
              <w:t>778.06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61.55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61.55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778.06</w:t>
            </w:r>
          </w:p>
        </w:tc>
        <w:tc>
          <w:tcPr>
            <w:tcW w:w="3402" w:type="dxa"/>
            <w:vAlign w:val="center"/>
          </w:tcPr>
          <w:p>
            <w:pPr>
              <w:pStyle w:val="14"/>
            </w:pPr>
            <w:r>
              <w:t>支出总计</w:t>
            </w:r>
          </w:p>
        </w:tc>
        <w:tc>
          <w:tcPr>
            <w:tcW w:w="1474" w:type="dxa"/>
            <w:vAlign w:val="center"/>
          </w:tcPr>
          <w:p>
            <w:pPr>
              <w:pStyle w:val="15"/>
            </w:pPr>
            <w:r>
              <w:t>778.06</w:t>
            </w:r>
          </w:p>
        </w:tc>
        <w:tc>
          <w:tcPr>
            <w:tcW w:w="1474" w:type="dxa"/>
            <w:vAlign w:val="center"/>
          </w:tcPr>
          <w:p>
            <w:pPr>
              <w:pStyle w:val="15"/>
            </w:pPr>
            <w:r>
              <w:t>778.06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778.06</w:t>
            </w:r>
          </w:p>
        </w:tc>
        <w:tc>
          <w:tcPr>
            <w:tcW w:w="2551" w:type="dxa"/>
            <w:vAlign w:val="center"/>
          </w:tcPr>
          <w:p>
            <w:pPr>
              <w:pStyle w:val="15"/>
            </w:pPr>
            <w:r>
              <w:t>564.02</w:t>
            </w:r>
          </w:p>
        </w:tc>
        <w:tc>
          <w:tcPr>
            <w:tcW w:w="2551" w:type="dxa"/>
            <w:vAlign w:val="center"/>
          </w:tcPr>
          <w:p>
            <w:pPr>
              <w:pStyle w:val="15"/>
            </w:pPr>
            <w:r>
              <w:t>214.04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44.11</w:t>
            </w:r>
          </w:p>
        </w:tc>
        <w:tc>
          <w:tcPr>
            <w:tcW w:w="2551" w:type="dxa"/>
            <w:vAlign w:val="center"/>
          </w:tcPr>
          <w:p>
            <w:pPr>
              <w:pStyle w:val="11"/>
            </w:pPr>
            <w:r>
              <w:t>44.11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42.99</w:t>
            </w:r>
          </w:p>
        </w:tc>
        <w:tc>
          <w:tcPr>
            <w:tcW w:w="2551" w:type="dxa"/>
            <w:vAlign w:val="center"/>
          </w:tcPr>
          <w:p>
            <w:pPr>
              <w:pStyle w:val="11"/>
            </w:pPr>
            <w:r>
              <w:t>42.99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6.79</w:t>
            </w:r>
          </w:p>
        </w:tc>
        <w:tc>
          <w:tcPr>
            <w:tcW w:w="2551" w:type="dxa"/>
            <w:vAlign w:val="center"/>
          </w:tcPr>
          <w:p>
            <w:pPr>
              <w:pStyle w:val="11"/>
            </w:pPr>
            <w:r>
              <w:t>6.79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24.13</w:t>
            </w:r>
          </w:p>
        </w:tc>
        <w:tc>
          <w:tcPr>
            <w:tcW w:w="2551" w:type="dxa"/>
            <w:vAlign w:val="center"/>
          </w:tcPr>
          <w:p>
            <w:pPr>
              <w:pStyle w:val="11"/>
            </w:pPr>
            <w:r>
              <w:t>24.13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12.07</w:t>
            </w:r>
          </w:p>
        </w:tc>
        <w:tc>
          <w:tcPr>
            <w:tcW w:w="2551" w:type="dxa"/>
            <w:vAlign w:val="center"/>
          </w:tcPr>
          <w:p>
            <w:pPr>
              <w:pStyle w:val="11"/>
            </w:pPr>
            <w:r>
              <w:t>12.07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1.12</w:t>
            </w:r>
          </w:p>
        </w:tc>
        <w:tc>
          <w:tcPr>
            <w:tcW w:w="2551" w:type="dxa"/>
            <w:vAlign w:val="center"/>
          </w:tcPr>
          <w:p>
            <w:pPr>
              <w:pStyle w:val="11"/>
            </w:pPr>
            <w:r>
              <w:t>1.12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2082701</w:t>
            </w:r>
          </w:p>
        </w:tc>
        <w:tc>
          <w:tcPr>
            <w:tcW w:w="4535" w:type="dxa"/>
            <w:vAlign w:val="center"/>
          </w:tcPr>
          <w:p>
            <w:pPr>
              <w:pStyle w:val="12"/>
            </w:pPr>
            <w:r>
              <w:t>财政对失业保险基金的补助</w:t>
            </w:r>
          </w:p>
        </w:tc>
        <w:tc>
          <w:tcPr>
            <w:tcW w:w="2551" w:type="dxa"/>
            <w:vAlign w:val="center"/>
          </w:tcPr>
          <w:p>
            <w:pPr>
              <w:pStyle w:val="11"/>
            </w:pPr>
            <w:r>
              <w:t>0.44</w:t>
            </w:r>
          </w:p>
        </w:tc>
        <w:tc>
          <w:tcPr>
            <w:tcW w:w="2551" w:type="dxa"/>
            <w:vAlign w:val="center"/>
          </w:tcPr>
          <w:p>
            <w:pPr>
              <w:pStyle w:val="11"/>
            </w:pPr>
            <w:r>
              <w:t>0.44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0.68</w:t>
            </w:r>
          </w:p>
        </w:tc>
        <w:tc>
          <w:tcPr>
            <w:tcW w:w="2551" w:type="dxa"/>
            <w:vAlign w:val="center"/>
          </w:tcPr>
          <w:p>
            <w:pPr>
              <w:pStyle w:val="11"/>
            </w:pPr>
            <w:r>
              <w:t>0.68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10.12</w:t>
            </w:r>
          </w:p>
        </w:tc>
        <w:tc>
          <w:tcPr>
            <w:tcW w:w="2551" w:type="dxa"/>
            <w:vAlign w:val="center"/>
          </w:tcPr>
          <w:p>
            <w:pPr>
              <w:pStyle w:val="11"/>
            </w:pPr>
            <w:r>
              <w:t>10.12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10.12</w:t>
            </w:r>
          </w:p>
        </w:tc>
        <w:tc>
          <w:tcPr>
            <w:tcW w:w="2551" w:type="dxa"/>
            <w:vAlign w:val="center"/>
          </w:tcPr>
          <w:p>
            <w:pPr>
              <w:pStyle w:val="11"/>
            </w:pPr>
            <w:r>
              <w:t>10.12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5.41</w:t>
            </w:r>
          </w:p>
        </w:tc>
        <w:tc>
          <w:tcPr>
            <w:tcW w:w="2551" w:type="dxa"/>
            <w:vAlign w:val="center"/>
          </w:tcPr>
          <w:p>
            <w:pPr>
              <w:pStyle w:val="11"/>
            </w:pPr>
            <w:r>
              <w:t>5.41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4.71</w:t>
            </w:r>
          </w:p>
        </w:tc>
        <w:tc>
          <w:tcPr>
            <w:tcW w:w="2551" w:type="dxa"/>
            <w:vAlign w:val="center"/>
          </w:tcPr>
          <w:p>
            <w:pPr>
              <w:pStyle w:val="11"/>
            </w:pPr>
            <w:r>
              <w:t>4.71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15.71</w:t>
            </w:r>
          </w:p>
        </w:tc>
        <w:tc>
          <w:tcPr>
            <w:tcW w:w="2551" w:type="dxa"/>
            <w:vAlign w:val="center"/>
          </w:tcPr>
          <w:p>
            <w:pPr>
              <w:pStyle w:val="11"/>
            </w:pPr>
            <w:r>
              <w:t>15.71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15.71</w:t>
            </w:r>
          </w:p>
        </w:tc>
        <w:tc>
          <w:tcPr>
            <w:tcW w:w="2551" w:type="dxa"/>
            <w:vAlign w:val="center"/>
          </w:tcPr>
          <w:p>
            <w:pPr>
              <w:pStyle w:val="11"/>
            </w:pPr>
            <w:r>
              <w:t>15.71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15.71</w:t>
            </w:r>
          </w:p>
        </w:tc>
        <w:tc>
          <w:tcPr>
            <w:tcW w:w="2551" w:type="dxa"/>
            <w:vAlign w:val="center"/>
          </w:tcPr>
          <w:p>
            <w:pPr>
              <w:pStyle w:val="11"/>
            </w:pPr>
            <w:r>
              <w:t>15.71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708.12</w:t>
            </w:r>
          </w:p>
        </w:tc>
        <w:tc>
          <w:tcPr>
            <w:tcW w:w="2551" w:type="dxa"/>
            <w:vAlign w:val="center"/>
          </w:tcPr>
          <w:p>
            <w:pPr>
              <w:pStyle w:val="11"/>
            </w:pPr>
            <w:r>
              <w:t>494.08</w:t>
            </w:r>
          </w:p>
        </w:tc>
        <w:tc>
          <w:tcPr>
            <w:tcW w:w="2551" w:type="dxa"/>
            <w:vAlign w:val="center"/>
          </w:tcPr>
          <w:p>
            <w:pPr>
              <w:pStyle w:val="11"/>
            </w:pPr>
            <w:r>
              <w:t>214.04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634.12</w:t>
            </w:r>
          </w:p>
        </w:tc>
        <w:tc>
          <w:tcPr>
            <w:tcW w:w="2551" w:type="dxa"/>
            <w:vAlign w:val="center"/>
          </w:tcPr>
          <w:p>
            <w:pPr>
              <w:pStyle w:val="11"/>
            </w:pPr>
            <w:r>
              <w:t>494.08</w:t>
            </w:r>
          </w:p>
        </w:tc>
        <w:tc>
          <w:tcPr>
            <w:tcW w:w="2551" w:type="dxa"/>
            <w:vAlign w:val="center"/>
          </w:tcPr>
          <w:p>
            <w:pPr>
              <w:pStyle w:val="11"/>
            </w:pPr>
            <w:r>
              <w:t>140.04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144.22</w:t>
            </w:r>
          </w:p>
        </w:tc>
        <w:tc>
          <w:tcPr>
            <w:tcW w:w="2551" w:type="dxa"/>
            <w:vAlign w:val="center"/>
          </w:tcPr>
          <w:p>
            <w:pPr>
              <w:pStyle w:val="11"/>
            </w:pPr>
            <w:r>
              <w:t>144.22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91.55</w:t>
            </w:r>
          </w:p>
        </w:tc>
        <w:tc>
          <w:tcPr>
            <w:tcW w:w="2551" w:type="dxa"/>
            <w:vAlign w:val="center"/>
          </w:tcPr>
          <w:p>
            <w:pPr>
              <w:pStyle w:val="11"/>
            </w:pPr>
          </w:p>
        </w:tc>
        <w:tc>
          <w:tcPr>
            <w:tcW w:w="2551" w:type="dxa"/>
            <w:vAlign w:val="center"/>
          </w:tcPr>
          <w:p>
            <w:pPr>
              <w:pStyle w:val="11"/>
            </w:pPr>
            <w:r>
              <w:t>91.55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2240150</w:t>
            </w:r>
          </w:p>
        </w:tc>
        <w:tc>
          <w:tcPr>
            <w:tcW w:w="4535" w:type="dxa"/>
            <w:vAlign w:val="center"/>
          </w:tcPr>
          <w:p>
            <w:pPr>
              <w:pStyle w:val="12"/>
            </w:pPr>
            <w:r>
              <w:t>事业运行</w:t>
            </w:r>
          </w:p>
        </w:tc>
        <w:tc>
          <w:tcPr>
            <w:tcW w:w="2551" w:type="dxa"/>
            <w:vAlign w:val="center"/>
          </w:tcPr>
          <w:p>
            <w:pPr>
              <w:pStyle w:val="11"/>
            </w:pPr>
            <w:r>
              <w:t>349.87</w:t>
            </w:r>
          </w:p>
        </w:tc>
        <w:tc>
          <w:tcPr>
            <w:tcW w:w="2551" w:type="dxa"/>
            <w:vAlign w:val="center"/>
          </w:tcPr>
          <w:p>
            <w:pPr>
              <w:pStyle w:val="11"/>
            </w:pPr>
            <w:r>
              <w:t>349.87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2240199</w:t>
            </w:r>
          </w:p>
        </w:tc>
        <w:tc>
          <w:tcPr>
            <w:tcW w:w="4535" w:type="dxa"/>
            <w:vAlign w:val="center"/>
          </w:tcPr>
          <w:p>
            <w:pPr>
              <w:pStyle w:val="12"/>
            </w:pPr>
            <w:r>
              <w:t>其他应急管理支出</w:t>
            </w:r>
          </w:p>
        </w:tc>
        <w:tc>
          <w:tcPr>
            <w:tcW w:w="2551" w:type="dxa"/>
            <w:vAlign w:val="center"/>
          </w:tcPr>
          <w:p>
            <w:pPr>
              <w:pStyle w:val="11"/>
            </w:pPr>
            <w:r>
              <w:t>25.50</w:t>
            </w:r>
          </w:p>
        </w:tc>
        <w:tc>
          <w:tcPr>
            <w:tcW w:w="2551" w:type="dxa"/>
            <w:vAlign w:val="center"/>
          </w:tcPr>
          <w:p>
            <w:pPr>
              <w:pStyle w:val="11"/>
            </w:pPr>
          </w:p>
        </w:tc>
        <w:tc>
          <w:tcPr>
            <w:tcW w:w="2551" w:type="dxa"/>
            <w:vAlign w:val="center"/>
          </w:tcPr>
          <w:p>
            <w:pPr>
              <w:pStyle w:val="11"/>
            </w:pPr>
            <w:r>
              <w:t>25.50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564.02</w:t>
            </w:r>
          </w:p>
        </w:tc>
        <w:tc>
          <w:tcPr>
            <w:tcW w:w="2551" w:type="dxa"/>
            <w:vAlign w:val="center"/>
          </w:tcPr>
          <w:p>
            <w:pPr>
              <w:pStyle w:val="15"/>
            </w:pPr>
            <w:r>
              <w:t>512.76</w:t>
            </w:r>
          </w:p>
        </w:tc>
        <w:tc>
          <w:tcPr>
            <w:tcW w:w="2551" w:type="dxa"/>
            <w:vAlign w:val="center"/>
          </w:tcPr>
          <w:p>
            <w:pPr>
              <w:pStyle w:val="15"/>
            </w:pPr>
            <w:r>
              <w:t>51.26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505.97</w:t>
            </w:r>
          </w:p>
        </w:tc>
        <w:tc>
          <w:tcPr>
            <w:tcW w:w="2551" w:type="dxa"/>
            <w:vAlign w:val="center"/>
          </w:tcPr>
          <w:p>
            <w:pPr>
              <w:pStyle w:val="11"/>
            </w:pPr>
            <w:r>
              <w:t>505.97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95.02</w:t>
            </w:r>
          </w:p>
        </w:tc>
        <w:tc>
          <w:tcPr>
            <w:tcW w:w="2551" w:type="dxa"/>
            <w:vAlign w:val="center"/>
          </w:tcPr>
          <w:p>
            <w:pPr>
              <w:pStyle w:val="11"/>
            </w:pPr>
            <w:r>
              <w:t>95.02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29.87</w:t>
            </w:r>
          </w:p>
        </w:tc>
        <w:tc>
          <w:tcPr>
            <w:tcW w:w="2551" w:type="dxa"/>
            <w:vAlign w:val="center"/>
          </w:tcPr>
          <w:p>
            <w:pPr>
              <w:pStyle w:val="11"/>
            </w:pPr>
            <w:r>
              <w:t>29.87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15.19</w:t>
            </w:r>
          </w:p>
        </w:tc>
        <w:tc>
          <w:tcPr>
            <w:tcW w:w="2551" w:type="dxa"/>
            <w:vAlign w:val="center"/>
          </w:tcPr>
          <w:p>
            <w:pPr>
              <w:pStyle w:val="11"/>
            </w:pPr>
            <w:r>
              <w:t>15.19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29.77</w:t>
            </w:r>
          </w:p>
        </w:tc>
        <w:tc>
          <w:tcPr>
            <w:tcW w:w="2551" w:type="dxa"/>
            <w:vAlign w:val="center"/>
          </w:tcPr>
          <w:p>
            <w:pPr>
              <w:pStyle w:val="11"/>
            </w:pPr>
            <w:r>
              <w:t>29.77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24.13</w:t>
            </w:r>
          </w:p>
        </w:tc>
        <w:tc>
          <w:tcPr>
            <w:tcW w:w="2551" w:type="dxa"/>
            <w:vAlign w:val="center"/>
          </w:tcPr>
          <w:p>
            <w:pPr>
              <w:pStyle w:val="11"/>
            </w:pPr>
            <w:r>
              <w:t>24.13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12.07</w:t>
            </w:r>
          </w:p>
        </w:tc>
        <w:tc>
          <w:tcPr>
            <w:tcW w:w="2551" w:type="dxa"/>
            <w:vAlign w:val="center"/>
          </w:tcPr>
          <w:p>
            <w:pPr>
              <w:pStyle w:val="11"/>
            </w:pPr>
            <w:r>
              <w:t>12.07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10.12</w:t>
            </w:r>
          </w:p>
        </w:tc>
        <w:tc>
          <w:tcPr>
            <w:tcW w:w="2551" w:type="dxa"/>
            <w:vAlign w:val="center"/>
          </w:tcPr>
          <w:p>
            <w:pPr>
              <w:pStyle w:val="11"/>
            </w:pPr>
            <w:r>
              <w:t>10.12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1.12</w:t>
            </w:r>
          </w:p>
        </w:tc>
        <w:tc>
          <w:tcPr>
            <w:tcW w:w="2551" w:type="dxa"/>
            <w:vAlign w:val="center"/>
          </w:tcPr>
          <w:p>
            <w:pPr>
              <w:pStyle w:val="11"/>
            </w:pPr>
            <w:r>
              <w:t>1.12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15.71</w:t>
            </w:r>
          </w:p>
        </w:tc>
        <w:tc>
          <w:tcPr>
            <w:tcW w:w="2551" w:type="dxa"/>
            <w:vAlign w:val="center"/>
          </w:tcPr>
          <w:p>
            <w:pPr>
              <w:pStyle w:val="11"/>
            </w:pPr>
            <w:r>
              <w:t>15.71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272.96</w:t>
            </w:r>
          </w:p>
        </w:tc>
        <w:tc>
          <w:tcPr>
            <w:tcW w:w="2551" w:type="dxa"/>
            <w:vAlign w:val="center"/>
          </w:tcPr>
          <w:p>
            <w:pPr>
              <w:pStyle w:val="11"/>
            </w:pPr>
            <w:r>
              <w:t>272.96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44.15</w:t>
            </w:r>
          </w:p>
        </w:tc>
        <w:tc>
          <w:tcPr>
            <w:tcW w:w="2551" w:type="dxa"/>
            <w:vAlign w:val="center"/>
          </w:tcPr>
          <w:p>
            <w:pPr>
              <w:pStyle w:val="11"/>
            </w:pPr>
          </w:p>
        </w:tc>
        <w:tc>
          <w:tcPr>
            <w:tcW w:w="2551" w:type="dxa"/>
            <w:vAlign w:val="center"/>
          </w:tcPr>
          <w:p>
            <w:pPr>
              <w:pStyle w:val="11"/>
            </w:pPr>
            <w:r>
              <w:t>44.15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13.21</w:t>
            </w:r>
          </w:p>
        </w:tc>
        <w:tc>
          <w:tcPr>
            <w:tcW w:w="2551" w:type="dxa"/>
            <w:vAlign w:val="center"/>
          </w:tcPr>
          <w:p>
            <w:pPr>
              <w:pStyle w:val="11"/>
            </w:pPr>
          </w:p>
        </w:tc>
        <w:tc>
          <w:tcPr>
            <w:tcW w:w="2551" w:type="dxa"/>
            <w:vAlign w:val="center"/>
          </w:tcPr>
          <w:p>
            <w:pPr>
              <w:pStyle w:val="11"/>
            </w:pPr>
            <w:r>
              <w:t>13.21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11.37</w:t>
            </w:r>
          </w:p>
        </w:tc>
        <w:tc>
          <w:tcPr>
            <w:tcW w:w="2551" w:type="dxa"/>
            <w:vAlign w:val="center"/>
          </w:tcPr>
          <w:p>
            <w:pPr>
              <w:pStyle w:val="11"/>
            </w:pPr>
          </w:p>
        </w:tc>
        <w:tc>
          <w:tcPr>
            <w:tcW w:w="2551" w:type="dxa"/>
            <w:vAlign w:val="center"/>
          </w:tcPr>
          <w:p>
            <w:pPr>
              <w:pStyle w:val="11"/>
            </w:pPr>
            <w:r>
              <w:t>11.37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0.27</w:t>
            </w:r>
          </w:p>
        </w:tc>
        <w:tc>
          <w:tcPr>
            <w:tcW w:w="2551" w:type="dxa"/>
            <w:vAlign w:val="center"/>
          </w:tcPr>
          <w:p>
            <w:pPr>
              <w:pStyle w:val="11"/>
            </w:pPr>
          </w:p>
        </w:tc>
        <w:tc>
          <w:tcPr>
            <w:tcW w:w="2551" w:type="dxa"/>
            <w:vAlign w:val="center"/>
          </w:tcPr>
          <w:p>
            <w:pPr>
              <w:pStyle w:val="11"/>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3.94</w:t>
            </w:r>
          </w:p>
        </w:tc>
        <w:tc>
          <w:tcPr>
            <w:tcW w:w="2551" w:type="dxa"/>
            <w:vAlign w:val="center"/>
          </w:tcPr>
          <w:p>
            <w:pPr>
              <w:pStyle w:val="11"/>
            </w:pPr>
          </w:p>
        </w:tc>
        <w:tc>
          <w:tcPr>
            <w:tcW w:w="2551" w:type="dxa"/>
            <w:vAlign w:val="center"/>
          </w:tcPr>
          <w:p>
            <w:pPr>
              <w:pStyle w:val="11"/>
            </w:pPr>
            <w:r>
              <w:t>3.94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7.74</w:t>
            </w:r>
          </w:p>
        </w:tc>
        <w:tc>
          <w:tcPr>
            <w:tcW w:w="2551" w:type="dxa"/>
            <w:vAlign w:val="center"/>
          </w:tcPr>
          <w:p>
            <w:pPr>
              <w:pStyle w:val="11"/>
            </w:pPr>
          </w:p>
        </w:tc>
        <w:tc>
          <w:tcPr>
            <w:tcW w:w="2551" w:type="dxa"/>
            <w:vAlign w:val="center"/>
          </w:tcPr>
          <w:p>
            <w:pPr>
              <w:pStyle w:val="11"/>
            </w:pPr>
            <w:r>
              <w:t>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0.92</w:t>
            </w:r>
          </w:p>
        </w:tc>
        <w:tc>
          <w:tcPr>
            <w:tcW w:w="2551" w:type="dxa"/>
            <w:vAlign w:val="center"/>
          </w:tcPr>
          <w:p>
            <w:pPr>
              <w:pStyle w:val="11"/>
            </w:pPr>
          </w:p>
        </w:tc>
        <w:tc>
          <w:tcPr>
            <w:tcW w:w="2551" w:type="dxa"/>
            <w:vAlign w:val="center"/>
          </w:tcPr>
          <w:p>
            <w:pPr>
              <w:pStyle w:val="11"/>
            </w:pPr>
            <w:r>
              <w:t>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6.79</w:t>
            </w:r>
          </w:p>
        </w:tc>
        <w:tc>
          <w:tcPr>
            <w:tcW w:w="2551" w:type="dxa"/>
            <w:vAlign w:val="center"/>
          </w:tcPr>
          <w:p>
            <w:pPr>
              <w:pStyle w:val="11"/>
            </w:pPr>
            <w:r>
              <w:t>6.79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6.79</w:t>
            </w:r>
          </w:p>
        </w:tc>
        <w:tc>
          <w:tcPr>
            <w:tcW w:w="2551" w:type="dxa"/>
            <w:vAlign w:val="center"/>
          </w:tcPr>
          <w:p>
            <w:pPr>
              <w:pStyle w:val="11"/>
            </w:pPr>
            <w:r>
              <w:t>6.79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7.11</w:t>
            </w:r>
          </w:p>
        </w:tc>
        <w:tc>
          <w:tcPr>
            <w:tcW w:w="2551" w:type="dxa"/>
            <w:vAlign w:val="center"/>
          </w:tcPr>
          <w:p>
            <w:pPr>
              <w:pStyle w:val="11"/>
            </w:pPr>
          </w:p>
        </w:tc>
        <w:tc>
          <w:tcPr>
            <w:tcW w:w="2551" w:type="dxa"/>
            <w:vAlign w:val="center"/>
          </w:tcPr>
          <w:p>
            <w:pPr>
              <w:pStyle w:val="11"/>
            </w:pPr>
            <w:r>
              <w:t>7.11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7.11</w:t>
            </w:r>
          </w:p>
        </w:tc>
        <w:tc>
          <w:tcPr>
            <w:tcW w:w="2551" w:type="dxa"/>
            <w:vAlign w:val="center"/>
          </w:tcPr>
          <w:p>
            <w:pPr>
              <w:pStyle w:val="11"/>
            </w:pPr>
          </w:p>
        </w:tc>
        <w:tc>
          <w:tcPr>
            <w:tcW w:w="2551" w:type="dxa"/>
            <w:vAlign w:val="center"/>
          </w:tcPr>
          <w:p>
            <w:pPr>
              <w:pStyle w:val="11"/>
            </w:pPr>
            <w:r>
              <w:t>7.11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426001高阳县应急管理局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5.77</w:t>
            </w:r>
          </w:p>
        </w:tc>
        <w:tc>
          <w:tcPr>
            <w:tcW w:w="2381" w:type="dxa"/>
            <w:vAlign w:val="center"/>
          </w:tcPr>
          <w:p>
            <w:pPr>
              <w:pStyle w:val="15"/>
            </w:pPr>
            <w:r>
              <w:t>5.77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5.77</w:t>
            </w:r>
          </w:p>
        </w:tc>
        <w:tc>
          <w:tcPr>
            <w:tcW w:w="2381" w:type="dxa"/>
            <w:vAlign w:val="center"/>
          </w:tcPr>
          <w:p>
            <w:pPr>
              <w:pStyle w:val="11"/>
            </w:pPr>
            <w:r>
              <w:t>5.77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5.50</w:t>
            </w:r>
          </w:p>
        </w:tc>
        <w:tc>
          <w:tcPr>
            <w:tcW w:w="2381" w:type="dxa"/>
            <w:vAlign w:val="center"/>
          </w:tcPr>
          <w:p>
            <w:pPr>
              <w:pStyle w:val="11"/>
            </w:pPr>
            <w:r>
              <w:t>5.50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5.50</w:t>
            </w:r>
          </w:p>
        </w:tc>
        <w:tc>
          <w:tcPr>
            <w:tcW w:w="2381" w:type="dxa"/>
            <w:vAlign w:val="center"/>
          </w:tcPr>
          <w:p>
            <w:pPr>
              <w:pStyle w:val="11"/>
            </w:pPr>
            <w:r>
              <w:t>5.50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0.27</w:t>
            </w:r>
          </w:p>
        </w:tc>
        <w:tc>
          <w:tcPr>
            <w:tcW w:w="2381" w:type="dxa"/>
            <w:vAlign w:val="center"/>
          </w:tcPr>
          <w:p>
            <w:pPr>
              <w:pStyle w:val="11"/>
            </w:pPr>
            <w:r>
              <w:t>0.27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高阳县应急管理局2025年单位预算信息公开情况说明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按照《中华人民共和国预算法》、《地方预决算公开操作规程》和《关于进一步推进预算公开工作的实施意见》规定，现将高阳县应急管理局2025年单位预算公开如下：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 xml:space="preserve">（一）负责应急管理工作，指导各部门、各乡镇（街道）应对安全生产类、自然灾害类等突发事件和综合防灾减灾救灾工作。负责安全生产综合监督管理和工矿商贸行业安全生产监督管理工作。 </w:t>
      </w:r>
    </w:p>
    <w:p>
      <w:pPr>
        <w:pStyle w:val="17"/>
      </w:pPr>
      <w:r>
        <w:t xml:space="preserve">（二）落实应急管理、安全生产等政策规定，组织编制县应急体系建设、安全生产和综合防灾减灾规划，落实安全生产等法律法规、政府规章、相关规程和标准并监督实施。 </w:t>
      </w:r>
    </w:p>
    <w:p>
      <w:pPr>
        <w:pStyle w:val="17"/>
      </w:pPr>
      <w:r>
        <w:t xml:space="preserve">（三）指导应急预案体系建设，建立完善事故灾难和自然灾害分级应对制度，组织编制县总体应急预案和安全生产类、自然灾害类专项预案，综合协调应急预案衔接工作，组织开展预案演练，推动应急避难设施建设。 </w:t>
      </w:r>
    </w:p>
    <w:p>
      <w:pPr>
        <w:pStyle w:val="17"/>
      </w:pPr>
      <w:r>
        <w:t xml:space="preserve">（四）牵头建立统一的全县应急管理信息系统，负责信息传输渠道的规划和布局，建立监测预警和灾情报告制度，健全自然灾害信息资源获取和共享机制，依法统一发布灾情。 </w:t>
      </w:r>
    </w:p>
    <w:p>
      <w:pPr>
        <w:pStyle w:val="17"/>
      </w:pPr>
      <w:r>
        <w:t xml:space="preserve">（五）组织指导协调安全生产类、自然灾害类等突发事件应急救援，承担县应对重大灾害指挥部工作，综合研判突发事件发展态势并提出应对建议，协助县委、县政府指定的负责同志组织重大灾害应急处置工作。 </w:t>
      </w:r>
    </w:p>
    <w:p>
      <w:pPr>
        <w:pStyle w:val="17"/>
      </w:pPr>
      <w:r>
        <w:t xml:space="preserve">（六）统一协调指挥各类应急专业队伍，建立应急协调联动机制，推进指挥平台对接，衔接解放军和武警部队参加应急救援工作。 </w:t>
      </w:r>
    </w:p>
    <w:p>
      <w:pPr>
        <w:pStyle w:val="17"/>
      </w:pPr>
      <w:r>
        <w:t xml:space="preserve">（七）统筹应急救援力量建设，负责消防、森林和草原火灾扑救、抗洪抢险、地震和地质灾害救援、生产安全事故救援等专业应急救援力量建设，管理县综合性应急救援队伍，指导各部门、各乡镇（街道）及社会应急救援力量建设。   </w:t>
      </w:r>
    </w:p>
    <w:p>
      <w:pPr>
        <w:pStyle w:val="17"/>
      </w:pPr>
      <w:r>
        <w:t xml:space="preserve">（八）组织协调消防工作，指导各部门、各乡镇（街道）消防监督、火灾预防、火灾扑救等工作。   </w:t>
      </w:r>
    </w:p>
    <w:p>
      <w:pPr>
        <w:pStyle w:val="17"/>
      </w:pPr>
      <w:r>
        <w:t xml:space="preserve">（九）指导协调森林和草原火灾、水旱灾害、地震和地质灾害等防治工作，负责自然灾害综合监测预警工作，指导开展自然灾害综合风险评估工作。   </w:t>
      </w:r>
    </w:p>
    <w:p>
      <w:pPr>
        <w:pStyle w:val="17"/>
      </w:pPr>
      <w:r>
        <w:t xml:space="preserve">（十）组织协调灾害救助工作，组织指导灾情核查、损失评估、救灾捐赠工作，管理、分配县救灾款物并监督使用。 </w:t>
      </w:r>
    </w:p>
    <w:p>
      <w:pPr>
        <w:pStyle w:val="17"/>
      </w:pPr>
      <w:r>
        <w:t xml:space="preserve">（十一）依法行使县安全生产综合监督管理职权，指导协调、监督检查县有关部门和各乡镇（街道办）政府安全生产工作，组织开展安全生产巡查、考核工作。   </w:t>
      </w:r>
    </w:p>
    <w:p>
      <w:pPr>
        <w:pStyle w:val="17"/>
      </w:pPr>
      <w:r>
        <w:t xml:space="preserve">（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   </w:t>
      </w:r>
    </w:p>
    <w:p>
      <w:pPr>
        <w:pStyle w:val="17"/>
      </w:pPr>
      <w:r>
        <w:t xml:space="preserve">（十三）依法组织指导生产安全事故调查处理，监督事故查处和责任追究落实情况。组织开展自然灾害类突发事件的调查评估工作。   </w:t>
      </w:r>
    </w:p>
    <w:p>
      <w:pPr>
        <w:pStyle w:val="17"/>
      </w:pPr>
      <w:r>
        <w:t xml:space="preserve">（十四）制定应急物资储备和应急救援装备规划并组织实施，会同县发展和改革局（粮食和物资储备局、县科学技术局、县工业和信息化局、县商务局）等部门建立健全应急物资信息平台和调拨制度，在救灾时统一调度。 </w:t>
      </w:r>
    </w:p>
    <w:p>
      <w:pPr>
        <w:pStyle w:val="17"/>
      </w:pPr>
      <w:r>
        <w:t xml:space="preserve">（十五）负责应急管理、安全生产宣传教育和培训工作，组织指导应急管理、安全生产的科学技术研究、推广应用和信息化建设工作。   </w:t>
      </w:r>
    </w:p>
    <w:p>
      <w:pPr>
        <w:pStyle w:val="17"/>
      </w:pPr>
      <w:r>
        <w:t>（十六）组织落实煤矿安全监管地方性法规和标准。负责煤矿企业安全生产的准入管理、煤炭采矿权设置安全审查以及全县煤矿安全生产属地管理责任。</w:t>
      </w:r>
    </w:p>
    <w:p>
      <w:pPr>
        <w:pStyle w:val="17"/>
      </w:pPr>
      <w:r>
        <w:t xml:space="preserve">（十七）负责组织指导协调和监督全县安全生产行政执法检查工作，组织开展对安全生产重点企业的执法检查。   </w:t>
      </w:r>
    </w:p>
    <w:p>
      <w:pPr>
        <w:pStyle w:val="17"/>
      </w:pPr>
      <w:r>
        <w:t xml:space="preserve">（十八）负责地震监测、震灾防御和震灾救援指挥工作。 </w:t>
      </w:r>
    </w:p>
    <w:p>
      <w:pPr>
        <w:pStyle w:val="17"/>
      </w:pPr>
      <w:r>
        <w:t xml:space="preserve">（十九）组织开展应急管理方面的交流与合作。  </w:t>
      </w:r>
    </w:p>
    <w:p>
      <w:pPr>
        <w:pStyle w:val="17"/>
      </w:pPr>
      <w:r>
        <w:t>（二十）完成县委、县政府交办的其他任务。</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高阳县应急管理局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778.06万元，其中：一般公共预算收入716.51万元，基金预算收入0.00万元，国有资本经营预算收入0.00万元，财政专户核拨收入0.00万元，单位资金收入0.00万元，上年结转结余61.55万元。</w:t>
      </w:r>
    </w:p>
    <w:p>
      <w:pPr>
        <w:pStyle w:val="18"/>
      </w:pPr>
      <w:r>
        <w:t>2、支出说明</w:t>
      </w:r>
    </w:p>
    <w:p>
      <w:pPr>
        <w:pStyle w:val="18"/>
      </w:pPr>
      <w:r>
        <w:t>收支预算总表支出栏、基本支出表、项目支出表按经济分类和支出功能分类科目编制，反映高阳县应急管理局年度单位预算中支出预算的总体情况。2025年支出预算778.06万元，其中基本支出564.02万元，包括人员经费512.76万元和日常公用经费51.26万元；项目支出214.04万元，主要为防汛专项经费30.00万元，安全综合管理经费20.00万元，安全生产经费20.00万元，农村住房保险项目64.00万元，“风雨保”保险项目10.00万元，河北省自然灾害应急能力提升工程预警指挥项目61.55万元，村级安全生产信息员补贴8.49万元。</w:t>
      </w:r>
    </w:p>
    <w:p>
      <w:pPr>
        <w:pStyle w:val="18"/>
      </w:pPr>
      <w:r>
        <w:t>3、比上年增减情况</w:t>
      </w:r>
    </w:p>
    <w:p>
      <w:pPr>
        <w:pStyle w:val="18"/>
      </w:pPr>
      <w:r>
        <w:t>2025年预算收支安排778.06万元，较2024年预算增加124.54万元，其中：基本支出增加65.58万元，主要为人员经费增加51.86万元，日常公用经费增长13.72万元。项目支出增加58.96万元，主要为增加河北省自然灾害应急能力提升工程预警指挥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2025年，我单位机关运行经费共计安排51.26万元，主要用于日常维修、办公用房水电费、办公用房取暖费、办公用房物业管理费等日常运行支出。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5.77万元，其中因公出国（境）费0.00万元；公务用车购置及运维费5.50万元（其中：公务用车购置费为0.00万元，公务用车运维费5.50万元)；公务接待费0.27万元。与2024年相比减少0.52万元，增减变化的主要原因是本单位厉行节约，严格控制“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1、"风雨保"保险项目绩效目标表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13062825P00033510004L</w:t>
            </w:r>
          </w:p>
        </w:tc>
        <w:tc>
          <w:tcPr>
            <w:tcW w:w="2835" w:type="dxa"/>
            <w:vAlign w:val="center"/>
          </w:tcPr>
          <w:p>
            <w:pPr>
              <w:pStyle w:val="10"/>
            </w:pPr>
            <w:r>
              <w:t>项目名称</w:t>
            </w:r>
          </w:p>
        </w:tc>
        <w:tc>
          <w:tcPr>
            <w:tcW w:w="6095" w:type="dxa"/>
            <w:gridSpan w:val="3"/>
            <w:vAlign w:val="center"/>
          </w:tcPr>
          <w:p>
            <w:pPr>
              <w:pStyle w:val="12"/>
            </w:pPr>
            <w:r>
              <w:t>"风雨保"保险项目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“风雨保”保险保费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t>10.00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1.减轻极端恶劣天气灾害造成的损失，及时救助受灾群众，保持社会大局稳定，投保“风雨保”保险应对强降雨灾害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起赔降雨量</w:t>
            </w:r>
          </w:p>
        </w:tc>
        <w:tc>
          <w:tcPr>
            <w:tcW w:w="5386" w:type="dxa"/>
            <w:vAlign w:val="center"/>
          </w:tcPr>
          <w:p>
            <w:pPr>
              <w:pStyle w:val="12"/>
            </w:pPr>
            <w:r>
              <w:t>连续三日起赔降雨量</w:t>
            </w:r>
          </w:p>
        </w:tc>
        <w:tc>
          <w:tcPr>
            <w:tcW w:w="2268" w:type="dxa"/>
            <w:vAlign w:val="center"/>
          </w:tcPr>
          <w:p>
            <w:pPr>
              <w:pStyle w:val="12"/>
            </w:pPr>
            <w:r>
              <w:t>&gt;150mm</w:t>
            </w:r>
          </w:p>
        </w:tc>
        <w:tc>
          <w:tcPr>
            <w:tcW w:w="1276" w:type="dxa"/>
            <w:vAlign w:val="center"/>
          </w:tcPr>
          <w:p>
            <w:pPr>
              <w:pStyle w:val="12"/>
            </w:pPr>
            <w:r>
              <w:t>《关于应急管理局“风雨保”保险项目资金的意见》（高阳县人民政府编号X662)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保障额度</w:t>
            </w:r>
          </w:p>
        </w:tc>
        <w:tc>
          <w:tcPr>
            <w:tcW w:w="5386" w:type="dxa"/>
            <w:vAlign w:val="center"/>
          </w:tcPr>
          <w:p>
            <w:pPr>
              <w:pStyle w:val="12"/>
            </w:pPr>
            <w:r>
              <w:t>保障额度</w:t>
            </w:r>
          </w:p>
        </w:tc>
        <w:tc>
          <w:tcPr>
            <w:tcW w:w="2268" w:type="dxa"/>
            <w:vAlign w:val="center"/>
          </w:tcPr>
          <w:p>
            <w:pPr>
              <w:pStyle w:val="12"/>
            </w:pPr>
            <w:r>
              <w:t>≤400万元</w:t>
            </w:r>
          </w:p>
        </w:tc>
        <w:tc>
          <w:tcPr>
            <w:tcW w:w="1276" w:type="dxa"/>
            <w:vAlign w:val="center"/>
          </w:tcPr>
          <w:p>
            <w:pPr>
              <w:pStyle w:val="12"/>
            </w:pPr>
            <w:r>
              <w:t>《关于应急管理局“风雨保”保险项目资金的意见》（高阳县人民政府编号X662)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保险期限</w:t>
            </w:r>
          </w:p>
        </w:tc>
        <w:tc>
          <w:tcPr>
            <w:tcW w:w="5386" w:type="dxa"/>
            <w:vAlign w:val="center"/>
          </w:tcPr>
          <w:p>
            <w:pPr>
              <w:pStyle w:val="12"/>
            </w:pPr>
            <w:r>
              <w:t>风雨保保障期限</w:t>
            </w:r>
          </w:p>
        </w:tc>
        <w:tc>
          <w:tcPr>
            <w:tcW w:w="2268" w:type="dxa"/>
            <w:vAlign w:val="center"/>
          </w:tcPr>
          <w:p>
            <w:pPr>
              <w:pStyle w:val="12"/>
            </w:pPr>
            <w:r>
              <w:t>1年</w:t>
            </w:r>
          </w:p>
        </w:tc>
        <w:tc>
          <w:tcPr>
            <w:tcW w:w="1276" w:type="dxa"/>
            <w:vAlign w:val="center"/>
          </w:tcPr>
          <w:p>
            <w:pPr>
              <w:pStyle w:val="12"/>
            </w:pPr>
            <w:r>
              <w:t>《关于应急管理局“风雨保”保险项目资金的意见》（高阳县人民政府编号X662)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项目预算执行率</w:t>
            </w:r>
          </w:p>
        </w:tc>
        <w:tc>
          <w:tcPr>
            <w:tcW w:w="2268" w:type="dxa"/>
            <w:vAlign w:val="center"/>
          </w:tcPr>
          <w:p>
            <w:pPr>
              <w:pStyle w:val="12"/>
            </w:pPr>
            <w:r>
              <w:t>100%</w:t>
            </w:r>
          </w:p>
        </w:tc>
        <w:tc>
          <w:tcPr>
            <w:tcW w:w="1276" w:type="dxa"/>
            <w:vAlign w:val="center"/>
          </w:tcPr>
          <w:p>
            <w:pPr>
              <w:pStyle w:val="12"/>
            </w:pPr>
            <w:r>
              <w:t>《关于应急管理局“风雨保”保险项目资金的意见》（高阳县人民政府编号X662)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降低损失</w:t>
            </w:r>
          </w:p>
        </w:tc>
        <w:tc>
          <w:tcPr>
            <w:tcW w:w="5386" w:type="dxa"/>
            <w:vAlign w:val="center"/>
          </w:tcPr>
          <w:p>
            <w:pPr>
              <w:pStyle w:val="12"/>
            </w:pPr>
            <w:r>
              <w:t>降低极端恶劣天气造成损失</w:t>
            </w:r>
          </w:p>
        </w:tc>
        <w:tc>
          <w:tcPr>
            <w:tcW w:w="2268" w:type="dxa"/>
            <w:vAlign w:val="center"/>
          </w:tcPr>
          <w:p>
            <w:pPr>
              <w:pStyle w:val="12"/>
            </w:pPr>
            <w:r>
              <w:t>100%</w:t>
            </w:r>
          </w:p>
        </w:tc>
        <w:tc>
          <w:tcPr>
            <w:tcW w:w="1276" w:type="dxa"/>
            <w:vAlign w:val="center"/>
          </w:tcPr>
          <w:p>
            <w:pPr>
              <w:pStyle w:val="12"/>
            </w:pPr>
            <w:r>
              <w:t>《关于应急管理局“风雨保”保险项目资金的意见》（高阳县人民政府编号X662)</w:t>
            </w:r>
          </w:p>
        </w:tc>
      </w:tr>
    </w:tbl>
    <w:p>
      <w:pPr>
        <w:sectPr>
          <w:pgSz w:w="16840" w:h="11900" w:orient="landscape"/>
          <w:pgMar w:top="1361" w:right="1020" w:bottom="1134" w:left="1020" w:header="720" w:footer="720" w:gutter="0"/>
          <w:cols w:space="720" w:num="1"/>
        </w:sectPr>
      </w:pP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2、安全生产经费绩效目标表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13062825P00028410084A</w:t>
            </w:r>
          </w:p>
        </w:tc>
        <w:tc>
          <w:tcPr>
            <w:tcW w:w="2835" w:type="dxa"/>
            <w:vAlign w:val="center"/>
          </w:tcPr>
          <w:p>
            <w:pPr>
              <w:pStyle w:val="10"/>
            </w:pPr>
            <w:r>
              <w:t>项目名称</w:t>
            </w:r>
          </w:p>
        </w:tc>
        <w:tc>
          <w:tcPr>
            <w:tcW w:w="6095" w:type="dxa"/>
            <w:gridSpan w:val="3"/>
            <w:vAlign w:val="center"/>
          </w:tcPr>
          <w:p>
            <w:pPr>
              <w:pStyle w:val="12"/>
            </w:pPr>
            <w:r>
              <w:t>安全生产经费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开展安全生产执法监察工作中的执法支出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1.有序开展安全生产执法监察工作，确保全县安全生产形势稳定好转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隐患排查率</w:t>
            </w:r>
          </w:p>
        </w:tc>
        <w:tc>
          <w:tcPr>
            <w:tcW w:w="5386" w:type="dxa"/>
            <w:vAlign w:val="center"/>
          </w:tcPr>
          <w:p>
            <w:pPr>
              <w:pStyle w:val="12"/>
            </w:pPr>
            <w:r>
              <w:t>辖区内隐患排查数占所辖企业的百分比</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整改率</w:t>
            </w:r>
          </w:p>
        </w:tc>
        <w:tc>
          <w:tcPr>
            <w:tcW w:w="5386" w:type="dxa"/>
            <w:vAlign w:val="center"/>
          </w:tcPr>
          <w:p>
            <w:pPr>
              <w:pStyle w:val="12"/>
            </w:pPr>
            <w:r>
              <w:t>整改数占应整改总数的百分比</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全县安全生产形势</w:t>
            </w:r>
          </w:p>
        </w:tc>
        <w:tc>
          <w:tcPr>
            <w:tcW w:w="5386" w:type="dxa"/>
            <w:vAlign w:val="center"/>
          </w:tcPr>
          <w:p>
            <w:pPr>
              <w:pStyle w:val="12"/>
            </w:pPr>
            <w:r>
              <w:t>确保全县安全生产形势稳定好转</w:t>
            </w:r>
          </w:p>
        </w:tc>
        <w:tc>
          <w:tcPr>
            <w:tcW w:w="2268" w:type="dxa"/>
            <w:vAlign w:val="center"/>
          </w:tcPr>
          <w:p>
            <w:pPr>
              <w:pStyle w:val="12"/>
            </w:pPr>
            <w:r>
              <w:t>100%</w:t>
            </w:r>
          </w:p>
        </w:tc>
        <w:tc>
          <w:tcPr>
            <w:tcW w:w="1276" w:type="dxa"/>
            <w:vAlign w:val="center"/>
          </w:tcPr>
          <w:p>
            <w:pPr>
              <w:pStyle w:val="12"/>
            </w:pPr>
            <w:r>
              <w:t>2025年工作计划</w:t>
            </w:r>
          </w:p>
        </w:tc>
      </w:tr>
    </w:tbl>
    <w:p>
      <w:pPr>
        <w:sectPr>
          <w:pgSz w:w="16840" w:h="11900" w:orient="landscape"/>
          <w:pgMar w:top="1361" w:right="1020" w:bottom="1134" w:left="1020" w:header="720" w:footer="720" w:gutter="0"/>
          <w:cols w:space="720" w:num="1"/>
        </w:sectPr>
      </w:pP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3、安全综合管理经费绩效目标表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13062825P00028410085X</w:t>
            </w:r>
          </w:p>
        </w:tc>
        <w:tc>
          <w:tcPr>
            <w:tcW w:w="2835" w:type="dxa"/>
            <w:vAlign w:val="center"/>
          </w:tcPr>
          <w:p>
            <w:pPr>
              <w:pStyle w:val="10"/>
            </w:pPr>
            <w:r>
              <w:t>项目名称</w:t>
            </w:r>
          </w:p>
        </w:tc>
        <w:tc>
          <w:tcPr>
            <w:tcW w:w="6095" w:type="dxa"/>
            <w:gridSpan w:val="3"/>
            <w:vAlign w:val="center"/>
          </w:tcPr>
          <w:p>
            <w:pPr>
              <w:pStyle w:val="12"/>
            </w:pPr>
            <w:r>
              <w:t>安全综合管理经费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用于安全生产综合管理支出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1.有序开展安全生产综合管理工作，确保全县安全生产形势稳定好转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隐患排查率</w:t>
            </w:r>
          </w:p>
        </w:tc>
        <w:tc>
          <w:tcPr>
            <w:tcW w:w="5386" w:type="dxa"/>
            <w:vAlign w:val="center"/>
          </w:tcPr>
          <w:p>
            <w:pPr>
              <w:pStyle w:val="12"/>
            </w:pPr>
            <w:r>
              <w:t>辖区内隐患排查数占所辖企业的百分比</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整改率</w:t>
            </w:r>
          </w:p>
        </w:tc>
        <w:tc>
          <w:tcPr>
            <w:tcW w:w="5386" w:type="dxa"/>
            <w:vAlign w:val="center"/>
          </w:tcPr>
          <w:p>
            <w:pPr>
              <w:pStyle w:val="12"/>
            </w:pPr>
            <w:r>
              <w:t>整改数占应整改总数的百分比</w:t>
            </w:r>
          </w:p>
        </w:tc>
        <w:tc>
          <w:tcPr>
            <w:tcW w:w="2268" w:type="dxa"/>
            <w:vAlign w:val="center"/>
          </w:tcPr>
          <w:p>
            <w:pPr>
              <w:pStyle w:val="12"/>
            </w:pPr>
            <w:r>
              <w:t>≥95%</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2025年工作计划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全县安全生产形势</w:t>
            </w:r>
          </w:p>
        </w:tc>
        <w:tc>
          <w:tcPr>
            <w:tcW w:w="5386" w:type="dxa"/>
            <w:vAlign w:val="center"/>
          </w:tcPr>
          <w:p>
            <w:pPr>
              <w:pStyle w:val="12"/>
            </w:pPr>
            <w:r>
              <w:t>确保全县安全生产形势稳定好转</w:t>
            </w:r>
          </w:p>
        </w:tc>
        <w:tc>
          <w:tcPr>
            <w:tcW w:w="2268" w:type="dxa"/>
            <w:vAlign w:val="center"/>
          </w:tcPr>
          <w:p>
            <w:pPr>
              <w:pStyle w:val="12"/>
            </w:pPr>
            <w:r>
              <w:t>100%</w:t>
            </w:r>
          </w:p>
        </w:tc>
        <w:tc>
          <w:tcPr>
            <w:tcW w:w="1276" w:type="dxa"/>
            <w:vAlign w:val="center"/>
          </w:tcPr>
          <w:p>
            <w:pPr>
              <w:pStyle w:val="12"/>
            </w:pPr>
            <w:r>
              <w:t>2025年工作计划</w:t>
            </w:r>
          </w:p>
        </w:tc>
      </w:tr>
    </w:tbl>
    <w:p>
      <w:pPr>
        <w:sectPr>
          <w:pgSz w:w="16840" w:h="11900" w:orient="landscape"/>
          <w:pgMar w:top="1361" w:right="1020" w:bottom="1134" w:left="1020" w:header="720" w:footer="720" w:gutter="0"/>
          <w:cols w:space="720" w:num="1"/>
        </w:sectPr>
      </w:pP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4、村级安全生产信息员补贴绩效目标表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13062825P000429100599</w:t>
            </w:r>
          </w:p>
        </w:tc>
        <w:tc>
          <w:tcPr>
            <w:tcW w:w="2835" w:type="dxa"/>
            <w:vAlign w:val="center"/>
          </w:tcPr>
          <w:p>
            <w:pPr>
              <w:pStyle w:val="10"/>
            </w:pPr>
            <w:r>
              <w:t>项目名称</w:t>
            </w:r>
          </w:p>
        </w:tc>
        <w:tc>
          <w:tcPr>
            <w:tcW w:w="6095" w:type="dxa"/>
            <w:gridSpan w:val="3"/>
            <w:vAlign w:val="center"/>
          </w:tcPr>
          <w:p>
            <w:pPr>
              <w:pStyle w:val="12"/>
            </w:pPr>
            <w:r>
              <w:t>村级安全生产信息员补贴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w:t>
            </w:r>
          </w:p>
        </w:tc>
        <w:tc>
          <w:tcPr>
            <w:tcW w:w="2835" w:type="dxa"/>
            <w:vAlign w:val="center"/>
          </w:tcPr>
          <w:p>
            <w:pPr>
              <w:pStyle w:val="10"/>
            </w:pPr>
            <w:r>
              <w:t>其中：财政    资金</w:t>
            </w:r>
          </w:p>
        </w:tc>
        <w:tc>
          <w:tcPr>
            <w:tcW w:w="2551" w:type="dxa"/>
            <w:vAlign w:val="center"/>
          </w:tcPr>
          <w:p>
            <w:pPr>
              <w:pStyle w:val="12"/>
            </w:pPr>
            <w:r>
              <w:t>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用于发放村级安全生产信息员补助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2.13</w:t>
            </w:r>
          </w:p>
        </w:tc>
        <w:tc>
          <w:tcPr>
            <w:tcW w:w="2835" w:type="dxa"/>
            <w:vAlign w:val="center"/>
          </w:tcPr>
          <w:p>
            <w:pPr>
              <w:pStyle w:val="13"/>
            </w:pPr>
            <w:r>
              <w:t>4.25</w:t>
            </w:r>
          </w:p>
        </w:tc>
        <w:tc>
          <w:tcPr>
            <w:tcW w:w="2551" w:type="dxa"/>
            <w:vAlign w:val="center"/>
          </w:tcPr>
          <w:p>
            <w:pPr>
              <w:pStyle w:val="13"/>
            </w:pPr>
            <w:r>
              <w:t>6.50</w:t>
            </w:r>
          </w:p>
        </w:tc>
        <w:tc>
          <w:tcPr>
            <w:tcW w:w="3544" w:type="dxa"/>
            <w:gridSpan w:val="2"/>
            <w:vAlign w:val="center"/>
          </w:tcPr>
          <w:p>
            <w:pPr>
              <w:pStyle w:val="13"/>
            </w:pPr>
            <w:r>
              <w:t>8.50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1.保障村级安全生产信息员工作正常开展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每人待遇标准</w:t>
            </w:r>
          </w:p>
        </w:tc>
        <w:tc>
          <w:tcPr>
            <w:tcW w:w="5386" w:type="dxa"/>
            <w:vAlign w:val="center"/>
          </w:tcPr>
          <w:p>
            <w:pPr>
              <w:pStyle w:val="12"/>
            </w:pPr>
            <w:r>
              <w:t>村级安全生产信息员每人每月待遇发放标准</w:t>
            </w:r>
          </w:p>
        </w:tc>
        <w:tc>
          <w:tcPr>
            <w:tcW w:w="2268" w:type="dxa"/>
            <w:vAlign w:val="center"/>
          </w:tcPr>
          <w:p>
            <w:pPr>
              <w:pStyle w:val="12"/>
            </w:pPr>
            <w:r>
              <w:t>30元/人/月</w:t>
            </w:r>
          </w:p>
        </w:tc>
        <w:tc>
          <w:tcPr>
            <w:tcW w:w="1276" w:type="dxa"/>
            <w:vAlign w:val="center"/>
          </w:tcPr>
          <w:p>
            <w:pPr>
              <w:pStyle w:val="12"/>
            </w:pPr>
            <w:r>
              <w:t>《关于高阳县设置村级（社区）安全生产信息员的建议》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5386" w:type="dxa"/>
            <w:vAlign w:val="center"/>
          </w:tcPr>
          <w:p>
            <w:pPr>
              <w:pStyle w:val="12"/>
            </w:pPr>
            <w:r>
              <w:t>实际发放待遇人数占应发人数的比例</w:t>
            </w:r>
          </w:p>
        </w:tc>
        <w:tc>
          <w:tcPr>
            <w:tcW w:w="2268" w:type="dxa"/>
            <w:vAlign w:val="center"/>
          </w:tcPr>
          <w:p>
            <w:pPr>
              <w:pStyle w:val="12"/>
            </w:pPr>
            <w:r>
              <w:t>100%</w:t>
            </w:r>
          </w:p>
        </w:tc>
        <w:tc>
          <w:tcPr>
            <w:tcW w:w="1276" w:type="dxa"/>
            <w:vAlign w:val="center"/>
          </w:tcPr>
          <w:p>
            <w:pPr>
              <w:pStyle w:val="12"/>
            </w:pPr>
            <w:r>
              <w:t>《关于高阳县设置村级（社区）安全生产信息员的建议》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村级安全生产信息员待遇是否及时发放</w:t>
            </w:r>
          </w:p>
        </w:tc>
        <w:tc>
          <w:tcPr>
            <w:tcW w:w="2268" w:type="dxa"/>
            <w:vAlign w:val="center"/>
          </w:tcPr>
          <w:p>
            <w:pPr>
              <w:pStyle w:val="12"/>
            </w:pPr>
            <w:r>
              <w:t>100%</w:t>
            </w:r>
          </w:p>
        </w:tc>
        <w:tc>
          <w:tcPr>
            <w:tcW w:w="1276" w:type="dxa"/>
            <w:vAlign w:val="center"/>
          </w:tcPr>
          <w:p>
            <w:pPr>
              <w:pStyle w:val="12"/>
            </w:pPr>
            <w:r>
              <w:t>《关于高阳县设置村级（社区）安全生产信息员的建议》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《关于高阳县设置村级（社区）安全生产信息员的建议》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工作水平</w:t>
            </w:r>
          </w:p>
        </w:tc>
        <w:tc>
          <w:tcPr>
            <w:tcW w:w="5386" w:type="dxa"/>
            <w:vAlign w:val="center"/>
          </w:tcPr>
          <w:p>
            <w:pPr>
              <w:pStyle w:val="12"/>
            </w:pPr>
            <w:r>
              <w:t>村级安全生产信息员待遇是否落实</w:t>
            </w:r>
          </w:p>
        </w:tc>
        <w:tc>
          <w:tcPr>
            <w:tcW w:w="2268" w:type="dxa"/>
            <w:vAlign w:val="center"/>
          </w:tcPr>
          <w:p>
            <w:pPr>
              <w:pStyle w:val="12"/>
            </w:pPr>
            <w:r>
              <w:t>100%</w:t>
            </w:r>
          </w:p>
        </w:tc>
        <w:tc>
          <w:tcPr>
            <w:tcW w:w="1276" w:type="dxa"/>
            <w:vAlign w:val="center"/>
          </w:tcPr>
          <w:p>
            <w:pPr>
              <w:pStyle w:val="12"/>
            </w:pPr>
            <w:r>
              <w:t>《关于高阳县设置村级（社区）安全生产信息员的建议》</w:t>
            </w:r>
          </w:p>
        </w:tc>
      </w:tr>
    </w:tbl>
    <w:p>
      <w:pPr>
        <w:sectPr>
          <w:pgSz w:w="16840" w:h="11900" w:orient="landscape"/>
          <w:pgMar w:top="1361" w:right="1020" w:bottom="1134" w:left="1020" w:header="720" w:footer="720" w:gutter="0"/>
          <w:cols w:space="720" w:num="1"/>
        </w:sectPr>
      </w:pP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5、防汛专项经费绩效目标表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13062825P00028410086H</w:t>
            </w:r>
          </w:p>
        </w:tc>
        <w:tc>
          <w:tcPr>
            <w:tcW w:w="2835" w:type="dxa"/>
            <w:vAlign w:val="center"/>
          </w:tcPr>
          <w:p>
            <w:pPr>
              <w:pStyle w:val="10"/>
            </w:pPr>
            <w:r>
              <w:t>项目名称</w:t>
            </w:r>
          </w:p>
        </w:tc>
        <w:tc>
          <w:tcPr>
            <w:tcW w:w="6095" w:type="dxa"/>
            <w:gridSpan w:val="3"/>
            <w:vAlign w:val="center"/>
          </w:tcPr>
          <w:p>
            <w:pPr>
              <w:pStyle w:val="12"/>
            </w:pPr>
            <w:r>
              <w:t>防汛专项经费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用于汛前购置防汛物资、整修防汛物料库、组织防汛演练支出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30.00</w:t>
            </w:r>
          </w:p>
        </w:tc>
        <w:tc>
          <w:tcPr>
            <w:tcW w:w="2551" w:type="dxa"/>
            <w:vAlign w:val="center"/>
          </w:tcPr>
          <w:p>
            <w:pPr>
              <w:pStyle w:val="13"/>
            </w:pPr>
            <w:r>
              <w:t>30.00</w:t>
            </w:r>
          </w:p>
        </w:tc>
        <w:tc>
          <w:tcPr>
            <w:tcW w:w="3544" w:type="dxa"/>
            <w:gridSpan w:val="2"/>
            <w:vAlign w:val="center"/>
          </w:tcPr>
          <w:p>
            <w:pPr>
              <w:pStyle w:val="13"/>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1.汛前购置防汛物资、整修防汛物料库、组织防汛演练。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防汛物资</w:t>
            </w:r>
          </w:p>
        </w:tc>
        <w:tc>
          <w:tcPr>
            <w:tcW w:w="5386" w:type="dxa"/>
            <w:vAlign w:val="center"/>
          </w:tcPr>
          <w:p>
            <w:pPr>
              <w:pStyle w:val="12"/>
            </w:pPr>
            <w:r>
              <w:t>购置一批防汛物资</w:t>
            </w:r>
          </w:p>
        </w:tc>
        <w:tc>
          <w:tcPr>
            <w:tcW w:w="2268" w:type="dxa"/>
            <w:vAlign w:val="center"/>
          </w:tcPr>
          <w:p>
            <w:pPr>
              <w:pStyle w:val="12"/>
            </w:pPr>
            <w:r>
              <w:t>1批</w:t>
            </w:r>
          </w:p>
        </w:tc>
        <w:tc>
          <w:tcPr>
            <w:tcW w:w="1276" w:type="dxa"/>
            <w:vAlign w:val="center"/>
          </w:tcPr>
          <w:p>
            <w:pPr>
              <w:pStyle w:val="12"/>
            </w:pPr>
            <w:r>
              <w:t>《关于申请防汛专项经费的请示》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防汛物料库</w:t>
            </w:r>
          </w:p>
        </w:tc>
        <w:tc>
          <w:tcPr>
            <w:tcW w:w="5386" w:type="dxa"/>
            <w:vAlign w:val="center"/>
          </w:tcPr>
          <w:p>
            <w:pPr>
              <w:pStyle w:val="12"/>
            </w:pPr>
            <w:r>
              <w:t>整修防汛物料库</w:t>
            </w:r>
          </w:p>
        </w:tc>
        <w:tc>
          <w:tcPr>
            <w:tcW w:w="2268" w:type="dxa"/>
            <w:vAlign w:val="center"/>
          </w:tcPr>
          <w:p>
            <w:pPr>
              <w:pStyle w:val="12"/>
            </w:pPr>
            <w:r>
              <w:t>100%</w:t>
            </w:r>
          </w:p>
        </w:tc>
        <w:tc>
          <w:tcPr>
            <w:tcW w:w="1276" w:type="dxa"/>
            <w:vAlign w:val="center"/>
          </w:tcPr>
          <w:p>
            <w:pPr>
              <w:pStyle w:val="12"/>
            </w:pPr>
            <w:r>
              <w:t>《关于申请防汛专项经费的请示》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汛前完成</w:t>
            </w:r>
          </w:p>
        </w:tc>
        <w:tc>
          <w:tcPr>
            <w:tcW w:w="5386" w:type="dxa"/>
            <w:vAlign w:val="center"/>
          </w:tcPr>
          <w:p>
            <w:pPr>
              <w:pStyle w:val="12"/>
            </w:pPr>
            <w:r>
              <w:t>汛前完成防汛演练</w:t>
            </w:r>
          </w:p>
        </w:tc>
        <w:tc>
          <w:tcPr>
            <w:tcW w:w="2268" w:type="dxa"/>
            <w:vAlign w:val="center"/>
          </w:tcPr>
          <w:p>
            <w:pPr>
              <w:pStyle w:val="12"/>
            </w:pPr>
            <w:r>
              <w:t>100%</w:t>
            </w:r>
          </w:p>
        </w:tc>
        <w:tc>
          <w:tcPr>
            <w:tcW w:w="1276" w:type="dxa"/>
            <w:vAlign w:val="center"/>
          </w:tcPr>
          <w:p>
            <w:pPr>
              <w:pStyle w:val="12"/>
            </w:pPr>
            <w:r>
              <w:t>《关于申请防汛专项经费的请示》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执行预算</w:t>
            </w:r>
          </w:p>
        </w:tc>
        <w:tc>
          <w:tcPr>
            <w:tcW w:w="5386" w:type="dxa"/>
            <w:vAlign w:val="center"/>
          </w:tcPr>
          <w:p>
            <w:pPr>
              <w:pStyle w:val="12"/>
            </w:pPr>
            <w:r>
              <w:t>严格执行防汛专项预算</w:t>
            </w:r>
          </w:p>
        </w:tc>
        <w:tc>
          <w:tcPr>
            <w:tcW w:w="2268" w:type="dxa"/>
            <w:vAlign w:val="center"/>
          </w:tcPr>
          <w:p>
            <w:pPr>
              <w:pStyle w:val="12"/>
            </w:pPr>
            <w:r>
              <w:t>≤30万元</w:t>
            </w:r>
          </w:p>
        </w:tc>
        <w:tc>
          <w:tcPr>
            <w:tcW w:w="1276" w:type="dxa"/>
            <w:vAlign w:val="center"/>
          </w:tcPr>
          <w:p>
            <w:pPr>
              <w:pStyle w:val="12"/>
            </w:pPr>
            <w:r>
              <w:t>《关于申请防汛专项经费的请示》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平稳度汛</w:t>
            </w:r>
          </w:p>
        </w:tc>
        <w:tc>
          <w:tcPr>
            <w:tcW w:w="5386" w:type="dxa"/>
            <w:vAlign w:val="center"/>
          </w:tcPr>
          <w:p>
            <w:pPr>
              <w:pStyle w:val="12"/>
            </w:pPr>
            <w:r>
              <w:t>全县平稳度过汛期</w:t>
            </w:r>
          </w:p>
        </w:tc>
        <w:tc>
          <w:tcPr>
            <w:tcW w:w="2268" w:type="dxa"/>
            <w:vAlign w:val="center"/>
          </w:tcPr>
          <w:p>
            <w:pPr>
              <w:pStyle w:val="12"/>
            </w:pPr>
            <w:r>
              <w:t>100%</w:t>
            </w:r>
          </w:p>
        </w:tc>
        <w:tc>
          <w:tcPr>
            <w:tcW w:w="1276" w:type="dxa"/>
            <w:vAlign w:val="center"/>
          </w:tcPr>
          <w:p>
            <w:pPr>
              <w:pStyle w:val="12"/>
            </w:pPr>
            <w:r>
              <w:t>《关于申请防汛专项经费的请示》</w:t>
            </w:r>
          </w:p>
        </w:tc>
      </w:tr>
    </w:tbl>
    <w:p>
      <w:pPr>
        <w:sectPr>
          <w:pgSz w:w="16840" w:h="11900" w:orient="landscape"/>
          <w:pgMar w:top="1361" w:right="1020" w:bottom="1134" w:left="1020" w:header="720" w:footer="720" w:gutter="0"/>
          <w:cols w:space="720" w:num="1"/>
        </w:sectPr>
      </w:pP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6、河北省自然灾害应急能力提升工程预警指挥项目绩效目标表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13062824P00035210002C</w:t>
            </w:r>
          </w:p>
        </w:tc>
        <w:tc>
          <w:tcPr>
            <w:tcW w:w="2835" w:type="dxa"/>
            <w:vAlign w:val="center"/>
          </w:tcPr>
          <w:p>
            <w:pPr>
              <w:pStyle w:val="10"/>
            </w:pPr>
            <w:r>
              <w:t>项目名称</w:t>
            </w:r>
          </w:p>
        </w:tc>
        <w:tc>
          <w:tcPr>
            <w:tcW w:w="6095" w:type="dxa"/>
            <w:gridSpan w:val="3"/>
            <w:vAlign w:val="center"/>
          </w:tcPr>
          <w:p>
            <w:pPr>
              <w:pStyle w:val="12"/>
            </w:pPr>
            <w:r>
              <w:t>河北省自然灾害应急能力提升工程预警指挥项目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54.28</w:t>
            </w:r>
          </w:p>
        </w:tc>
        <w:tc>
          <w:tcPr>
            <w:tcW w:w="2835" w:type="dxa"/>
            <w:vAlign w:val="center"/>
          </w:tcPr>
          <w:p>
            <w:pPr>
              <w:pStyle w:val="10"/>
            </w:pPr>
            <w:r>
              <w:t>其中：财政    资金</w:t>
            </w:r>
          </w:p>
        </w:tc>
        <w:tc>
          <w:tcPr>
            <w:tcW w:w="2551" w:type="dxa"/>
            <w:vAlign w:val="center"/>
          </w:tcPr>
          <w:p>
            <w:pPr>
              <w:pStyle w:val="12"/>
            </w:pPr>
            <w:r>
              <w:t>54.28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用于河北省自然灾害应急能力提升工程预警指挥项目。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30.00</w:t>
            </w:r>
          </w:p>
        </w:tc>
        <w:tc>
          <w:tcPr>
            <w:tcW w:w="2551" w:type="dxa"/>
            <w:vAlign w:val="center"/>
          </w:tcPr>
          <w:p>
            <w:pPr>
              <w:pStyle w:val="13"/>
            </w:pPr>
            <w:r>
              <w:t>54.28</w:t>
            </w:r>
          </w:p>
        </w:tc>
        <w:tc>
          <w:tcPr>
            <w:tcW w:w="3544" w:type="dxa"/>
            <w:gridSpan w:val="2"/>
            <w:vAlign w:val="center"/>
          </w:tcPr>
          <w:p>
            <w:pPr>
              <w:pStyle w:val="13"/>
            </w:pPr>
            <w:r>
              <w:t>54.28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1.完成预警指挥项目，提升自然灾害应急能力。</w:t>
            </w:r>
          </w:p>
          <w:p>
            <w:pPr>
              <w:pStyle w:val="12"/>
            </w:pPr>
            <w:r>
              <w:t>2.完成预警指挥项目，提升自然灾害应急能力。</w:t>
            </w:r>
          </w:p>
          <w:p>
            <w:pPr>
              <w:pStyle w:val="12"/>
            </w:pPr>
            <w:r>
              <w:t>3.完成预警指挥项目，提升自然灾害应急能力。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项目数量</w:t>
            </w:r>
          </w:p>
        </w:tc>
        <w:tc>
          <w:tcPr>
            <w:tcW w:w="5386" w:type="dxa"/>
            <w:vAlign w:val="center"/>
          </w:tcPr>
          <w:p>
            <w:pPr>
              <w:pStyle w:val="12"/>
            </w:pPr>
            <w:r>
              <w:t>完成预警指挥项目数量</w:t>
            </w:r>
          </w:p>
        </w:tc>
        <w:tc>
          <w:tcPr>
            <w:tcW w:w="2268" w:type="dxa"/>
            <w:vAlign w:val="center"/>
          </w:tcPr>
          <w:p>
            <w:pPr>
              <w:pStyle w:val="12"/>
            </w:pPr>
            <w:r>
              <w:t>1个</w:t>
            </w:r>
          </w:p>
        </w:tc>
        <w:tc>
          <w:tcPr>
            <w:tcW w:w="1276" w:type="dxa"/>
            <w:vAlign w:val="center"/>
          </w:tcPr>
          <w:p>
            <w:pPr>
              <w:pStyle w:val="12"/>
            </w:pPr>
            <w:r>
              <w:t>河北省发展和改革委员会《关于河北省自然灾害应急能力提升工程预警指挥项目可行性研究报告（代项目建议书）的批复》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w:t>
            </w:r>
          </w:p>
        </w:tc>
        <w:tc>
          <w:tcPr>
            <w:tcW w:w="5386" w:type="dxa"/>
            <w:vAlign w:val="center"/>
          </w:tcPr>
          <w:p>
            <w:pPr>
              <w:pStyle w:val="12"/>
            </w:pPr>
            <w:r>
              <w:t>预警指挥项目质量符合项目要求</w:t>
            </w:r>
          </w:p>
        </w:tc>
        <w:tc>
          <w:tcPr>
            <w:tcW w:w="2268" w:type="dxa"/>
            <w:vAlign w:val="center"/>
          </w:tcPr>
          <w:p>
            <w:pPr>
              <w:pStyle w:val="12"/>
            </w:pPr>
            <w:r>
              <w:t>100%</w:t>
            </w:r>
          </w:p>
        </w:tc>
        <w:tc>
          <w:tcPr>
            <w:tcW w:w="1276" w:type="dxa"/>
            <w:vAlign w:val="center"/>
          </w:tcPr>
          <w:p>
            <w:pPr>
              <w:pStyle w:val="12"/>
            </w:pPr>
            <w:r>
              <w:t>河北省发展和改革委员会《关于河北省自然灾害应急能力提升工程预警指挥项目可行性研究报告（代项目建议书）的批复》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完成及时效</w:t>
            </w:r>
          </w:p>
        </w:tc>
        <w:tc>
          <w:tcPr>
            <w:tcW w:w="5386" w:type="dxa"/>
            <w:vAlign w:val="center"/>
          </w:tcPr>
          <w:p>
            <w:pPr>
              <w:pStyle w:val="12"/>
            </w:pPr>
            <w:r>
              <w:t>完成及时率</w:t>
            </w:r>
          </w:p>
        </w:tc>
        <w:tc>
          <w:tcPr>
            <w:tcW w:w="2268" w:type="dxa"/>
            <w:vAlign w:val="center"/>
          </w:tcPr>
          <w:p>
            <w:pPr>
              <w:pStyle w:val="12"/>
            </w:pPr>
            <w:r>
              <w:t>100%</w:t>
            </w:r>
          </w:p>
        </w:tc>
        <w:tc>
          <w:tcPr>
            <w:tcW w:w="1276" w:type="dxa"/>
            <w:vAlign w:val="center"/>
          </w:tcPr>
          <w:p>
            <w:pPr>
              <w:pStyle w:val="12"/>
            </w:pPr>
            <w:r>
              <w:t>河北省发展和改革委员会《关于河北省自然灾害应急能力提升工程预警指挥项目可行性研究报告（代项目建议书）的批复》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应急能力提升</w:t>
            </w:r>
          </w:p>
        </w:tc>
        <w:tc>
          <w:tcPr>
            <w:tcW w:w="5386" w:type="dxa"/>
            <w:vAlign w:val="center"/>
          </w:tcPr>
          <w:p>
            <w:pPr>
              <w:pStyle w:val="12"/>
            </w:pPr>
            <w:r>
              <w:t>自然灾害应急能力得到提升</w:t>
            </w:r>
          </w:p>
        </w:tc>
        <w:tc>
          <w:tcPr>
            <w:tcW w:w="2268" w:type="dxa"/>
            <w:vAlign w:val="center"/>
          </w:tcPr>
          <w:p>
            <w:pPr>
              <w:pStyle w:val="12"/>
            </w:pPr>
            <w:r>
              <w:t>100%</w:t>
            </w:r>
          </w:p>
        </w:tc>
        <w:tc>
          <w:tcPr>
            <w:tcW w:w="1276" w:type="dxa"/>
            <w:vAlign w:val="center"/>
          </w:tcPr>
          <w:p>
            <w:pPr>
              <w:pStyle w:val="12"/>
            </w:pPr>
            <w:r>
              <w:t>河北省发展和改革委员会《关于河北省自然灾害应急能力提升工程预警指挥项目可行性研究报告（代项目建议书）的批复》</w:t>
            </w:r>
          </w:p>
        </w:tc>
      </w:tr>
    </w:tbl>
    <w:p>
      <w:pPr>
        <w:sectPr>
          <w:pgSz w:w="16840" w:h="11900" w:orient="landscape"/>
          <w:pgMar w:top="1361" w:right="1020" w:bottom="1134" w:left="1020" w:header="720" w:footer="720" w:gutter="0"/>
          <w:cols w:space="720" w:num="1"/>
        </w:sectPr>
      </w:pP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7、河北省自然灾害应急能力提升工程预警指挥项目绩效目标表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13062824P000352100030</w:t>
            </w:r>
          </w:p>
        </w:tc>
        <w:tc>
          <w:tcPr>
            <w:tcW w:w="2835" w:type="dxa"/>
            <w:vAlign w:val="center"/>
          </w:tcPr>
          <w:p>
            <w:pPr>
              <w:pStyle w:val="10"/>
            </w:pPr>
            <w:r>
              <w:t>项目名称</w:t>
            </w:r>
          </w:p>
        </w:tc>
        <w:tc>
          <w:tcPr>
            <w:tcW w:w="6095" w:type="dxa"/>
            <w:gridSpan w:val="3"/>
            <w:vAlign w:val="center"/>
          </w:tcPr>
          <w:p>
            <w:pPr>
              <w:pStyle w:val="12"/>
            </w:pPr>
            <w:r>
              <w:t>河北省自然灾害应急能力提升工程预警指挥项目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7.27</w:t>
            </w:r>
          </w:p>
        </w:tc>
        <w:tc>
          <w:tcPr>
            <w:tcW w:w="2835" w:type="dxa"/>
            <w:vAlign w:val="center"/>
          </w:tcPr>
          <w:p>
            <w:pPr>
              <w:pStyle w:val="10"/>
            </w:pPr>
            <w:r>
              <w:t>其中：财政    资金</w:t>
            </w:r>
          </w:p>
        </w:tc>
        <w:tc>
          <w:tcPr>
            <w:tcW w:w="2551" w:type="dxa"/>
            <w:vAlign w:val="center"/>
          </w:tcPr>
          <w:p>
            <w:pPr>
              <w:pStyle w:val="12"/>
            </w:pPr>
            <w:r>
              <w:t>7.27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用于河北省自然灾害应急能力提升工程预警指挥项目。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5.00</w:t>
            </w:r>
          </w:p>
        </w:tc>
        <w:tc>
          <w:tcPr>
            <w:tcW w:w="2551" w:type="dxa"/>
            <w:vAlign w:val="center"/>
          </w:tcPr>
          <w:p>
            <w:pPr>
              <w:pStyle w:val="13"/>
            </w:pPr>
            <w:r>
              <w:t>7.27</w:t>
            </w:r>
          </w:p>
        </w:tc>
        <w:tc>
          <w:tcPr>
            <w:tcW w:w="3544" w:type="dxa"/>
            <w:gridSpan w:val="2"/>
            <w:vAlign w:val="center"/>
          </w:tcPr>
          <w:p>
            <w:pPr>
              <w:pStyle w:val="13"/>
            </w:pPr>
            <w:r>
              <w:t>7.27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1.完成预警指挥项目，提升自然灾害应急能力。</w:t>
            </w:r>
          </w:p>
          <w:p>
            <w:pPr>
              <w:pStyle w:val="12"/>
            </w:pPr>
            <w:r>
              <w:t>2.完成预警指挥项目，提升自然灾害应急能力。</w:t>
            </w:r>
          </w:p>
          <w:p>
            <w:pPr>
              <w:pStyle w:val="12"/>
            </w:pPr>
            <w:r>
              <w:t>3.完成预警指挥项目，提升自然灾害应急能力。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项目数量</w:t>
            </w:r>
          </w:p>
        </w:tc>
        <w:tc>
          <w:tcPr>
            <w:tcW w:w="5386" w:type="dxa"/>
            <w:vAlign w:val="center"/>
          </w:tcPr>
          <w:p>
            <w:pPr>
              <w:pStyle w:val="12"/>
            </w:pPr>
            <w:r>
              <w:t>完成预警指挥项目数量</w:t>
            </w:r>
          </w:p>
        </w:tc>
        <w:tc>
          <w:tcPr>
            <w:tcW w:w="2268" w:type="dxa"/>
            <w:vAlign w:val="center"/>
          </w:tcPr>
          <w:p>
            <w:pPr>
              <w:pStyle w:val="12"/>
            </w:pPr>
            <w:r>
              <w:t>1个</w:t>
            </w:r>
          </w:p>
        </w:tc>
        <w:tc>
          <w:tcPr>
            <w:tcW w:w="1276" w:type="dxa"/>
            <w:vAlign w:val="center"/>
          </w:tcPr>
          <w:p>
            <w:pPr>
              <w:pStyle w:val="12"/>
            </w:pPr>
            <w:r>
              <w:t>河北省发展和改革委员会《关于河北省自然灾害应急能力提升工程预警指挥项目可行性研究报告（代项目建议书）的批复》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w:t>
            </w:r>
          </w:p>
        </w:tc>
        <w:tc>
          <w:tcPr>
            <w:tcW w:w="5386" w:type="dxa"/>
            <w:vAlign w:val="center"/>
          </w:tcPr>
          <w:p>
            <w:pPr>
              <w:pStyle w:val="12"/>
            </w:pPr>
            <w:r>
              <w:t>预警指挥项目质量符合项目要求</w:t>
            </w:r>
          </w:p>
        </w:tc>
        <w:tc>
          <w:tcPr>
            <w:tcW w:w="2268" w:type="dxa"/>
            <w:vAlign w:val="center"/>
          </w:tcPr>
          <w:p>
            <w:pPr>
              <w:pStyle w:val="12"/>
            </w:pPr>
            <w:r>
              <w:t>100%</w:t>
            </w:r>
          </w:p>
        </w:tc>
        <w:tc>
          <w:tcPr>
            <w:tcW w:w="1276" w:type="dxa"/>
            <w:vAlign w:val="center"/>
          </w:tcPr>
          <w:p>
            <w:pPr>
              <w:pStyle w:val="12"/>
            </w:pPr>
            <w:r>
              <w:t>河北省发展和改革委员会《关于河北省自然灾害应急能力提升工程预警指挥项目可行性研究报告（代项目建议书）的批复》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完成及时率</w:t>
            </w:r>
          </w:p>
        </w:tc>
        <w:tc>
          <w:tcPr>
            <w:tcW w:w="2268" w:type="dxa"/>
            <w:vAlign w:val="center"/>
          </w:tcPr>
          <w:p>
            <w:pPr>
              <w:pStyle w:val="12"/>
            </w:pPr>
            <w:r>
              <w:t>100%</w:t>
            </w:r>
          </w:p>
        </w:tc>
        <w:tc>
          <w:tcPr>
            <w:tcW w:w="1276" w:type="dxa"/>
            <w:vAlign w:val="center"/>
          </w:tcPr>
          <w:p>
            <w:pPr>
              <w:pStyle w:val="12"/>
            </w:pPr>
            <w:r>
              <w:t>河北省发展和改革委员会《关于河北省自然灾害应急能力提升工程预警指挥项目可行性研究报告（代项目建议书）的批复》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自然灾害应急能力得到提升</w:t>
            </w:r>
          </w:p>
        </w:tc>
        <w:tc>
          <w:tcPr>
            <w:tcW w:w="5386" w:type="dxa"/>
            <w:vAlign w:val="center"/>
          </w:tcPr>
          <w:p>
            <w:pPr>
              <w:pStyle w:val="12"/>
            </w:pPr>
            <w:r>
              <w:t>自然灾害应急能力得到提升</w:t>
            </w:r>
          </w:p>
        </w:tc>
        <w:tc>
          <w:tcPr>
            <w:tcW w:w="2268" w:type="dxa"/>
            <w:vAlign w:val="center"/>
          </w:tcPr>
          <w:p>
            <w:pPr>
              <w:pStyle w:val="12"/>
            </w:pPr>
            <w:r>
              <w:t>100%</w:t>
            </w:r>
          </w:p>
        </w:tc>
        <w:tc>
          <w:tcPr>
            <w:tcW w:w="1276" w:type="dxa"/>
            <w:vAlign w:val="center"/>
          </w:tcPr>
          <w:p>
            <w:pPr>
              <w:pStyle w:val="12"/>
            </w:pPr>
            <w:r>
              <w:t>河北省发展和改革委员会《关于河北省自然灾害应急能力提升工程预警指挥项目可行性研究报告（代项目建议书）的批复》</w:t>
            </w:r>
          </w:p>
        </w:tc>
      </w:tr>
    </w:tbl>
    <w:p>
      <w:pPr>
        <w:sectPr>
          <w:pgSz w:w="16840" w:h="11900" w:orient="landscape"/>
          <w:pgMar w:top="1361" w:right="1020" w:bottom="1134" w:left="1020" w:header="720" w:footer="720" w:gutter="0"/>
          <w:cols w:space="720" w:num="1"/>
        </w:sectPr>
      </w:pP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8、冀财建[2024]288号-自然灾害救助资金绩效目标表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13062825P00033510007F</w:t>
            </w:r>
          </w:p>
        </w:tc>
        <w:tc>
          <w:tcPr>
            <w:tcW w:w="2835" w:type="dxa"/>
            <w:vAlign w:val="center"/>
          </w:tcPr>
          <w:p>
            <w:pPr>
              <w:pStyle w:val="10"/>
            </w:pPr>
            <w:r>
              <w:t>项目名称</w:t>
            </w:r>
          </w:p>
        </w:tc>
        <w:tc>
          <w:tcPr>
            <w:tcW w:w="6095" w:type="dxa"/>
            <w:gridSpan w:val="3"/>
            <w:vAlign w:val="center"/>
          </w:tcPr>
          <w:p>
            <w:pPr>
              <w:pStyle w:val="12"/>
            </w:pPr>
            <w:r>
              <w:t>冀财建[2024]288号-自然灾害救助资金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政策性农村住房灾害保险资金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1.提升受灾农户抵御自然灾害和突发事故能力，提高农村居民住房灾后重建保障能力。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投保比例</w:t>
            </w:r>
          </w:p>
        </w:tc>
        <w:tc>
          <w:tcPr>
            <w:tcW w:w="5386" w:type="dxa"/>
            <w:vAlign w:val="center"/>
          </w:tcPr>
          <w:p>
            <w:pPr>
              <w:pStyle w:val="12"/>
            </w:pPr>
            <w:r>
              <w:t>全县农村住房参加自然灾害保险比例</w:t>
            </w:r>
          </w:p>
        </w:tc>
        <w:tc>
          <w:tcPr>
            <w:tcW w:w="2268" w:type="dxa"/>
            <w:vAlign w:val="center"/>
          </w:tcPr>
          <w:p>
            <w:pPr>
              <w:pStyle w:val="12"/>
            </w:pPr>
            <w:r>
              <w:t>100%</w:t>
            </w:r>
          </w:p>
        </w:tc>
        <w:tc>
          <w:tcPr>
            <w:tcW w:w="1276" w:type="dxa"/>
            <w:vAlign w:val="center"/>
          </w:tcPr>
          <w:p>
            <w:pPr>
              <w:pStyle w:val="12"/>
            </w:pPr>
            <w:r>
              <w:t>《关于进一步加强和规范全省政策性农房保险工作的通知》《关于调整我省政策性农房保险补助政策的通知》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受灾损失赔付率</w:t>
            </w:r>
          </w:p>
        </w:tc>
        <w:tc>
          <w:tcPr>
            <w:tcW w:w="5386" w:type="dxa"/>
            <w:vAlign w:val="center"/>
          </w:tcPr>
          <w:p>
            <w:pPr>
              <w:pStyle w:val="12"/>
            </w:pPr>
            <w:r>
              <w:t>农村住房灾后损失赔付占受灾损失的比例</w:t>
            </w:r>
          </w:p>
        </w:tc>
        <w:tc>
          <w:tcPr>
            <w:tcW w:w="2268" w:type="dxa"/>
            <w:vAlign w:val="center"/>
          </w:tcPr>
          <w:p>
            <w:pPr>
              <w:pStyle w:val="12"/>
            </w:pPr>
            <w:r>
              <w:t>100%</w:t>
            </w:r>
          </w:p>
        </w:tc>
        <w:tc>
          <w:tcPr>
            <w:tcW w:w="1276" w:type="dxa"/>
            <w:vAlign w:val="center"/>
          </w:tcPr>
          <w:p>
            <w:pPr>
              <w:pStyle w:val="12"/>
            </w:pPr>
            <w:r>
              <w:t>《关于进一步加强和规范全省政策性农房保险工作的通知》《关于调整我省政策性农房保险补助政策的通知》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受灾损失结案率</w:t>
            </w:r>
          </w:p>
        </w:tc>
        <w:tc>
          <w:tcPr>
            <w:tcW w:w="5386" w:type="dxa"/>
            <w:vAlign w:val="center"/>
          </w:tcPr>
          <w:p>
            <w:pPr>
              <w:pStyle w:val="12"/>
            </w:pPr>
            <w:r>
              <w:t>农村住房受灾后赔付结案占受灾总数的比例</w:t>
            </w:r>
          </w:p>
        </w:tc>
        <w:tc>
          <w:tcPr>
            <w:tcW w:w="2268" w:type="dxa"/>
            <w:vAlign w:val="center"/>
          </w:tcPr>
          <w:p>
            <w:pPr>
              <w:pStyle w:val="12"/>
            </w:pPr>
            <w:r>
              <w:t>≥90%</w:t>
            </w:r>
          </w:p>
        </w:tc>
        <w:tc>
          <w:tcPr>
            <w:tcW w:w="1276" w:type="dxa"/>
            <w:vAlign w:val="center"/>
          </w:tcPr>
          <w:p>
            <w:pPr>
              <w:pStyle w:val="12"/>
            </w:pPr>
            <w:r>
              <w:t>《关于进一步加强和规范全省政策性农房保险工作的通知》《关于调整我省政策性农房保险补助政策的通知》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《关于进一步加强和规范全省政策性农房保险工作的通知》《关于调整我省政策性农房保险补助政策的通知》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受益比例</w:t>
            </w:r>
          </w:p>
        </w:tc>
        <w:tc>
          <w:tcPr>
            <w:tcW w:w="5386" w:type="dxa"/>
            <w:vAlign w:val="center"/>
          </w:tcPr>
          <w:p>
            <w:pPr>
              <w:pStyle w:val="12"/>
            </w:pPr>
            <w:r>
              <w:t>全县农户参保受益比例</w:t>
            </w:r>
          </w:p>
        </w:tc>
        <w:tc>
          <w:tcPr>
            <w:tcW w:w="2268" w:type="dxa"/>
            <w:vAlign w:val="center"/>
          </w:tcPr>
          <w:p>
            <w:pPr>
              <w:pStyle w:val="12"/>
            </w:pPr>
            <w:r>
              <w:t>100%</w:t>
            </w:r>
          </w:p>
        </w:tc>
        <w:tc>
          <w:tcPr>
            <w:tcW w:w="1276" w:type="dxa"/>
            <w:vAlign w:val="center"/>
          </w:tcPr>
          <w:p>
            <w:pPr>
              <w:pStyle w:val="12"/>
            </w:pPr>
            <w:r>
              <w:t>《关于进一步加强和规范全省政策性农房保险工作的通知》《关于调整我省政策性农房保险补助政策的通知》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投保农户满意度</w:t>
            </w:r>
          </w:p>
        </w:tc>
        <w:tc>
          <w:tcPr>
            <w:tcW w:w="5386" w:type="dxa"/>
            <w:vAlign w:val="center"/>
          </w:tcPr>
          <w:p>
            <w:pPr>
              <w:pStyle w:val="12"/>
            </w:pPr>
            <w:r>
              <w:t>全县农户对农村住房自然灾害保险参保满意度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r>
        <w:rPr>
          <w:color w:val="FF0000"/>
          <w:sz w:val="24"/>
        </w:rPr>
        <w:t>.</w:t>
      </w:r>
    </w:p>
    <w:p>
      <w:pPr>
        <w:spacing w:before="0" w:after="0"/>
        <w:ind w:firstLine="560"/>
        <w:jc w:val="left"/>
        <w:outlineLvl w:val="9"/>
      </w:pPr>
      <w:r>
        <w:rPr>
          <w:rFonts w:ascii="方正仿宋_GBK" w:hAnsi="方正仿宋_GBK" w:eastAsia="方正仿宋_GBK" w:cs="方正仿宋_GBK"/>
          <w:b/>
          <w:color w:val="000000"/>
          <w:sz w:val="28"/>
        </w:rPr>
        <w:t>9、农村住房灾害保险绩效目标表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13062825P000335100058</w:t>
            </w:r>
          </w:p>
        </w:tc>
        <w:tc>
          <w:tcPr>
            <w:tcW w:w="2835" w:type="dxa"/>
            <w:vAlign w:val="center"/>
          </w:tcPr>
          <w:p>
            <w:pPr>
              <w:pStyle w:val="10"/>
            </w:pPr>
            <w:r>
              <w:t>项目名称</w:t>
            </w:r>
          </w:p>
        </w:tc>
        <w:tc>
          <w:tcPr>
            <w:tcW w:w="6095" w:type="dxa"/>
            <w:gridSpan w:val="3"/>
            <w:vAlign w:val="center"/>
          </w:tcPr>
          <w:p>
            <w:pPr>
              <w:pStyle w:val="12"/>
            </w:pPr>
            <w:r>
              <w:t>农村住房灾害保险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政策性农村住房保险资金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1.提升农户抵御自然灾害和突发事故能力，提高农村居民住房灾后重建保障能力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投保比例</w:t>
            </w:r>
          </w:p>
        </w:tc>
        <w:tc>
          <w:tcPr>
            <w:tcW w:w="5386" w:type="dxa"/>
            <w:vAlign w:val="center"/>
          </w:tcPr>
          <w:p>
            <w:pPr>
              <w:pStyle w:val="12"/>
            </w:pPr>
            <w:r>
              <w:t>全县农村住房参加自然灾害保险比例</w:t>
            </w:r>
          </w:p>
        </w:tc>
        <w:tc>
          <w:tcPr>
            <w:tcW w:w="2268" w:type="dxa"/>
            <w:vAlign w:val="center"/>
          </w:tcPr>
          <w:p>
            <w:pPr>
              <w:pStyle w:val="12"/>
            </w:pPr>
            <w:r>
              <w:t>100%</w:t>
            </w:r>
          </w:p>
        </w:tc>
        <w:tc>
          <w:tcPr>
            <w:tcW w:w="1276" w:type="dxa"/>
            <w:vAlign w:val="center"/>
          </w:tcPr>
          <w:p>
            <w:pPr>
              <w:pStyle w:val="12"/>
            </w:pPr>
            <w:r>
              <w:t>河北省应急管理厅、河北省财政厅、河北银保监局《关于进一步加强和规范全省政策性农房保险工作的通知》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受灾损失赔付率</w:t>
            </w:r>
          </w:p>
        </w:tc>
        <w:tc>
          <w:tcPr>
            <w:tcW w:w="5386" w:type="dxa"/>
            <w:vAlign w:val="center"/>
          </w:tcPr>
          <w:p>
            <w:pPr>
              <w:pStyle w:val="12"/>
            </w:pPr>
            <w:r>
              <w:t>农村住房灾后损失赔付占受灾损失的比例</w:t>
            </w:r>
          </w:p>
        </w:tc>
        <w:tc>
          <w:tcPr>
            <w:tcW w:w="2268" w:type="dxa"/>
            <w:vAlign w:val="center"/>
          </w:tcPr>
          <w:p>
            <w:pPr>
              <w:pStyle w:val="12"/>
            </w:pPr>
            <w:r>
              <w:t>100%</w:t>
            </w:r>
          </w:p>
        </w:tc>
        <w:tc>
          <w:tcPr>
            <w:tcW w:w="1276" w:type="dxa"/>
            <w:vAlign w:val="center"/>
          </w:tcPr>
          <w:p>
            <w:pPr>
              <w:pStyle w:val="12"/>
            </w:pPr>
            <w:r>
              <w:t>河北省应急管理厅、河北省财政厅、河北银保监局《关于进一步加强和规范全省政策性农房保险工作的通知》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受灾损失结案率</w:t>
            </w:r>
          </w:p>
        </w:tc>
        <w:tc>
          <w:tcPr>
            <w:tcW w:w="5386" w:type="dxa"/>
            <w:vAlign w:val="center"/>
          </w:tcPr>
          <w:p>
            <w:pPr>
              <w:pStyle w:val="12"/>
            </w:pPr>
            <w:r>
              <w:t>农村住房受灾后赔付结案占受灾总数的比例</w:t>
            </w:r>
          </w:p>
        </w:tc>
        <w:tc>
          <w:tcPr>
            <w:tcW w:w="2268" w:type="dxa"/>
            <w:vAlign w:val="center"/>
          </w:tcPr>
          <w:p>
            <w:pPr>
              <w:pStyle w:val="12"/>
            </w:pPr>
            <w:r>
              <w:t>≥90%</w:t>
            </w:r>
          </w:p>
        </w:tc>
        <w:tc>
          <w:tcPr>
            <w:tcW w:w="1276" w:type="dxa"/>
            <w:vAlign w:val="center"/>
          </w:tcPr>
          <w:p>
            <w:pPr>
              <w:pStyle w:val="12"/>
            </w:pPr>
            <w:r>
              <w:t>河北省应急管理厅、河北省财政厅、河北银保监局《关于进一步加强和规范全省政策性农房保险工作的通知》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河北省应急管理厅、河北省财政厅、河北银保监局《关于进一步加强和规范全省政策性农房保险工作的通知》</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受益比例</w:t>
            </w:r>
          </w:p>
        </w:tc>
        <w:tc>
          <w:tcPr>
            <w:tcW w:w="5386" w:type="dxa"/>
            <w:vAlign w:val="center"/>
          </w:tcPr>
          <w:p>
            <w:pPr>
              <w:pStyle w:val="12"/>
            </w:pPr>
            <w:r>
              <w:t>全县农户参保受益比例</w:t>
            </w:r>
          </w:p>
        </w:tc>
        <w:tc>
          <w:tcPr>
            <w:tcW w:w="2268" w:type="dxa"/>
            <w:vAlign w:val="center"/>
          </w:tcPr>
          <w:p>
            <w:pPr>
              <w:pStyle w:val="12"/>
            </w:pPr>
            <w:r>
              <w:t>100%</w:t>
            </w:r>
          </w:p>
        </w:tc>
        <w:tc>
          <w:tcPr>
            <w:tcW w:w="1276" w:type="dxa"/>
            <w:vAlign w:val="center"/>
          </w:tcPr>
          <w:p>
            <w:pPr>
              <w:pStyle w:val="12"/>
            </w:pPr>
            <w:r>
              <w:t>河北省应急管理厅、河北省财政厅、河北银保监局《关于进一步加强和规范全省政策性农房保险工作的通知》</w:t>
            </w:r>
          </w:p>
          <w:p>
            <w:pPr>
              <w:pStyle w:val="12"/>
            </w:pPr>
          </w:p>
        </w:tc>
      </w:tr>
    </w:tbl>
    <w:p>
      <w:pPr>
        <w:sectPr>
          <w:pgSz w:w="16840" w:h="11900" w:orient="landscape"/>
          <w:pgMar w:top="1361" w:right="1020" w:bottom="1134" w:left="1020" w:header="720" w:footer="720" w:gutter="0"/>
          <w:cols w:space="720" w:num="1"/>
        </w:sectPr>
      </w:pPr>
    </w:p>
    <w:p>
      <w:r>
        <w:rPr>
          <w:color w:val="FF0000"/>
          <w:sz w:val="24"/>
        </w:rPr>
        <w:t>.</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426001高阳县应急管理局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64.00</w:t>
            </w:r>
          </w:p>
        </w:tc>
        <w:tc>
          <w:tcPr>
            <w:tcW w:w="964" w:type="dxa"/>
            <w:vAlign w:val="center"/>
          </w:tcPr>
          <w:p>
            <w:pPr>
              <w:pStyle w:val="15"/>
            </w:pPr>
            <w:r>
              <w:t>64.00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高阳县应急管理局小计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64.00</w:t>
            </w:r>
          </w:p>
        </w:tc>
        <w:tc>
          <w:tcPr>
            <w:tcW w:w="964" w:type="dxa"/>
            <w:vAlign w:val="center"/>
          </w:tcPr>
          <w:p>
            <w:pPr>
              <w:pStyle w:val="15"/>
            </w:pPr>
            <w:r>
              <w:t>64.00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冀财建[2024]288号-自然灾害救助资金</w:t>
            </w:r>
          </w:p>
        </w:tc>
        <w:tc>
          <w:tcPr>
            <w:tcW w:w="964" w:type="dxa"/>
            <w:vAlign w:val="center"/>
          </w:tcPr>
          <w:p>
            <w:pPr>
              <w:pStyle w:val="11"/>
            </w:pPr>
            <w:r>
              <w:t>48.00</w:t>
            </w:r>
          </w:p>
        </w:tc>
        <w:tc>
          <w:tcPr>
            <w:tcW w:w="1134" w:type="dxa"/>
            <w:vAlign w:val="center"/>
          </w:tcPr>
          <w:p>
            <w:pPr>
              <w:pStyle w:val="12"/>
            </w:pPr>
            <w:r>
              <w:t>其他保险服务</w:t>
            </w:r>
          </w:p>
        </w:tc>
        <w:tc>
          <w:tcPr>
            <w:tcW w:w="1134" w:type="dxa"/>
            <w:vAlign w:val="center"/>
          </w:tcPr>
          <w:p>
            <w:pPr>
              <w:pStyle w:val="12"/>
            </w:pPr>
            <w:r>
              <w:t>C18049900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48.00</w:t>
            </w:r>
          </w:p>
        </w:tc>
        <w:tc>
          <w:tcPr>
            <w:tcW w:w="964" w:type="dxa"/>
            <w:vAlign w:val="center"/>
          </w:tcPr>
          <w:p>
            <w:pPr>
              <w:pStyle w:val="11"/>
            </w:pPr>
            <w:r>
              <w:t>48.00</w:t>
            </w:r>
          </w:p>
        </w:tc>
        <w:tc>
          <w:tcPr>
            <w:tcW w:w="964" w:type="dxa"/>
            <w:vAlign w:val="center"/>
          </w:tcPr>
          <w:p>
            <w:pPr>
              <w:pStyle w:val="11"/>
            </w:pPr>
            <w:r>
              <w:t>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农村住房灾害保险</w:t>
            </w:r>
          </w:p>
        </w:tc>
        <w:tc>
          <w:tcPr>
            <w:tcW w:w="964" w:type="dxa"/>
            <w:vAlign w:val="center"/>
          </w:tcPr>
          <w:p>
            <w:pPr>
              <w:pStyle w:val="11"/>
            </w:pPr>
            <w:r>
              <w:t>16.00</w:t>
            </w:r>
          </w:p>
        </w:tc>
        <w:tc>
          <w:tcPr>
            <w:tcW w:w="1134" w:type="dxa"/>
            <w:vAlign w:val="center"/>
          </w:tcPr>
          <w:p>
            <w:pPr>
              <w:pStyle w:val="12"/>
            </w:pPr>
            <w:r>
              <w:t>其他保险服务</w:t>
            </w:r>
          </w:p>
        </w:tc>
        <w:tc>
          <w:tcPr>
            <w:tcW w:w="1134" w:type="dxa"/>
            <w:vAlign w:val="center"/>
          </w:tcPr>
          <w:p>
            <w:pPr>
              <w:pStyle w:val="12"/>
            </w:pPr>
            <w:r>
              <w:t>C18049900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16.00</w:t>
            </w:r>
          </w:p>
        </w:tc>
        <w:tc>
          <w:tcPr>
            <w:tcW w:w="964" w:type="dxa"/>
            <w:vAlign w:val="center"/>
          </w:tcPr>
          <w:p>
            <w:pPr>
              <w:pStyle w:val="11"/>
            </w:pPr>
            <w:r>
              <w:t>16.00</w:t>
            </w:r>
          </w:p>
        </w:tc>
        <w:tc>
          <w:tcPr>
            <w:tcW w:w="964" w:type="dxa"/>
            <w:vAlign w:val="center"/>
          </w:tcPr>
          <w:p>
            <w:pPr>
              <w:pStyle w:val="11"/>
            </w:pPr>
            <w:r>
              <w:t>16.00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left="278" w:leftChars="116" w:firstLine="372" w:firstLineChars="133"/>
        <w:jc w:val="left"/>
        <w:outlineLvl w:val="9"/>
      </w:pPr>
      <w:r>
        <w:rPr>
          <w:rFonts w:ascii="Times New Roman" w:hAnsi="Times New Roman" w:eastAsia="方正仿宋_GBK" w:cs="Times New Roman"/>
          <w:b w:val="0"/>
          <w:color w:val="000000"/>
          <w:sz w:val="28"/>
        </w:rPr>
        <w:t>高阳县应急管理局上年末固定资产金额为325.49万元（详见下表）。本年度拟购置固定资产总额为</w:t>
      </w:r>
      <w:r>
        <w:rPr>
          <w:rFonts w:ascii="Times New Roman" w:hAnsi="Times New Roman" w:eastAsia="方正仿宋_GBK" w:cs="Times New Roman"/>
          <w:b w:val="0"/>
          <w:bCs w:val="0"/>
          <w:color w:val="000000"/>
          <w:sz w:val="28"/>
        </w:rPr>
        <w:t>7.</w:t>
      </w:r>
      <w:r>
        <w:rPr>
          <w:rFonts w:hint="eastAsia" w:eastAsia="方正仿宋_GBK" w:cs="Times New Roman"/>
          <w:b w:val="0"/>
          <w:bCs w:val="0"/>
          <w:color w:val="000000"/>
          <w:sz w:val="28"/>
          <w:lang w:val="en-US" w:eastAsia="zh-CN"/>
        </w:rPr>
        <w:t>11</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购置项目未达到政府采购标准，不在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eastAsia="zh-CN"/>
        </w:rPr>
        <w:t>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426001高阳县应急管理局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325.49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33.72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217</w:t>
            </w:r>
          </w:p>
        </w:tc>
        <w:tc>
          <w:tcPr>
            <w:tcW w:w="2835" w:type="dxa"/>
            <w:vAlign w:val="center"/>
          </w:tcPr>
          <w:p>
            <w:pPr>
              <w:pStyle w:val="11"/>
            </w:pPr>
            <w:r>
              <w:t>291.77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line="500" w:lineRule="exact"/>
        <w:ind w:firstLine="560"/>
        <w:rPr>
          <w:rFonts w:hint="eastAsia" w:eastAsia="方正仿宋_GBK"/>
          <w:lang w:val="en-US" w:eastAsia="zh-CN"/>
        </w:rPr>
      </w:pPr>
      <w:r>
        <w:rPr>
          <w:rFonts w:ascii="Times New Roman" w:hAnsi="Times New Roman" w:eastAsia="方正仿宋_GBK" w:cs="Times New Roman"/>
          <w:b w:val="0"/>
          <w:color w:val="000000"/>
          <w:sz w:val="28"/>
        </w:rPr>
        <w:t>我单位无其他需要说明的事项</w:t>
      </w:r>
      <w:r>
        <w:rPr>
          <w:rFonts w:eastAsia="方正仿宋_GBK"/>
          <w:color w:val="000000"/>
          <w:sz w:val="28"/>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D0898"/>
    <w:rsid w:val="08167BBE"/>
    <w:rsid w:val="093E6D36"/>
    <w:rsid w:val="168175F0"/>
    <w:rsid w:val="20C719FD"/>
    <w:rsid w:val="274471E3"/>
    <w:rsid w:val="380B3366"/>
    <w:rsid w:val="3A3E5E97"/>
    <w:rsid w:val="59CC0FDA"/>
    <w:rsid w:val="5C611698"/>
    <w:rsid w:val="5F7117D3"/>
    <w:rsid w:val="60337DCE"/>
    <w:rsid w:val="646821F4"/>
    <w:rsid w:val="79C83EA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10654</Words>
  <Characters>13255</Characters>
  <TotalTime>2</TotalTime>
  <ScaleCrop>false</ScaleCrop>
  <LinksUpToDate>false</LinksUpToDate>
  <CharactersWithSpaces>13491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2025-02-05T15:58:00Z</dcterms:created>
  <dc:creator>Administrator</dc:creator>
  <cp:lastModifiedBy>Administrator</cp:lastModifiedBy>
  <dcterms:modified xsi:type="dcterms:W3CDTF">2025-02-11T07:31:31Z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94FB11E3678142CCAC19064CFF827B56</vt:lpwstr>
  </property>
</Properties>
</file>