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firstLine="0" w:firstLineChars="0"/>
        <w:jc w:val="center"/>
        <w:textAlignment w:val="auto"/>
        <w:outlineLvl w:val="9"/>
        <w:rPr>
          <w:rFonts w:ascii="黑体" w:hAnsi="黑体" w:eastAsia="黑体"/>
          <w:bCs/>
          <w:sz w:val="36"/>
          <w:szCs w:val="36"/>
        </w:rPr>
      </w:pPr>
      <w:r>
        <w:rPr>
          <w:rFonts w:hint="eastAsia" w:ascii="黑体" w:hAnsi="黑体" w:eastAsia="黑体" w:cs="FZXiaoBiaoSong-B05"/>
          <w:color w:val="000000"/>
          <w:kern w:val="0"/>
          <w:sz w:val="36"/>
          <w:szCs w:val="36"/>
        </w:rPr>
        <w:t>高阳县关于</w:t>
      </w:r>
      <w:r>
        <w:rPr>
          <w:rFonts w:ascii="黑体" w:hAnsi="黑体" w:eastAsia="黑体"/>
          <w:color w:val="000000"/>
          <w:kern w:val="0"/>
          <w:sz w:val="36"/>
          <w:szCs w:val="36"/>
        </w:rPr>
        <w:t>202</w:t>
      </w:r>
      <w:r>
        <w:rPr>
          <w:rFonts w:hint="eastAsia" w:ascii="黑体" w:hAnsi="黑体" w:eastAsia="黑体"/>
          <w:color w:val="000000"/>
          <w:kern w:val="0"/>
          <w:sz w:val="36"/>
          <w:szCs w:val="36"/>
          <w:lang w:val="en-US" w:eastAsia="zh-CN"/>
        </w:rPr>
        <w:t>5</w:t>
      </w:r>
      <w:r>
        <w:rPr>
          <w:rFonts w:hint="eastAsia" w:ascii="黑体" w:hAnsi="黑体" w:eastAsia="黑体" w:cs="FZXiaoBiaoSong-B05"/>
          <w:color w:val="000000"/>
          <w:kern w:val="0"/>
          <w:sz w:val="36"/>
          <w:szCs w:val="36"/>
        </w:rPr>
        <w:t>年预算公开有关事项的说明</w:t>
      </w:r>
    </w:p>
    <w:p>
      <w:pPr>
        <w:spacing w:line="560" w:lineRule="exact"/>
        <w:ind w:firstLine="640" w:firstLineChars="200"/>
        <w:rPr>
          <w:rFonts w:ascii="黑体" w:hAnsi="黑体" w:eastAsia="黑体"/>
          <w:bCs/>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一、安排“三公”经费预算情况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年，我县根据国家相关规定，不折不扣落实过“紧日子”要求，厉行节约，严控和压缩“三公”经费，20</w:t>
      </w:r>
      <w:r>
        <w:rPr>
          <w:rFonts w:hint="eastAsia" w:ascii="仿宋_GB2312" w:eastAsia="仿宋_GB2312"/>
          <w:sz w:val="32"/>
          <w:szCs w:val="32"/>
          <w:lang w:val="en-US" w:eastAsia="zh-CN"/>
        </w:rPr>
        <w:t>25</w:t>
      </w:r>
      <w:r>
        <w:rPr>
          <w:rFonts w:hint="eastAsia" w:ascii="仿宋_GB2312" w:eastAsia="仿宋_GB2312"/>
          <w:sz w:val="32"/>
          <w:szCs w:val="32"/>
        </w:rPr>
        <w:t>年县级“三公”经费共安排67</w:t>
      </w:r>
      <w:r>
        <w:rPr>
          <w:rFonts w:hint="eastAsia" w:ascii="仿宋_GB2312" w:eastAsia="仿宋_GB2312"/>
          <w:sz w:val="32"/>
          <w:szCs w:val="32"/>
          <w:lang w:val="en-US" w:eastAsia="zh-CN"/>
        </w:rPr>
        <w:t>8</w:t>
      </w:r>
      <w:r>
        <w:rPr>
          <w:rFonts w:hint="eastAsia" w:ascii="仿宋_GB2312" w:eastAsia="仿宋_GB2312"/>
          <w:sz w:val="32"/>
          <w:szCs w:val="32"/>
        </w:rPr>
        <w:t>万元。具体安排情况如下：</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（一）因公出国（境）费。</w:t>
      </w:r>
      <w:r>
        <w:rPr>
          <w:rFonts w:hint="eastAsia" w:ascii="仿宋_GB2312" w:eastAsia="仿宋_GB2312"/>
          <w:sz w:val="32"/>
          <w:szCs w:val="32"/>
        </w:rPr>
        <w:t>共安排0万元，较上年无变化。</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（二）公务用车购置及运维费。</w:t>
      </w:r>
      <w:r>
        <w:rPr>
          <w:rFonts w:hint="eastAsia" w:ascii="仿宋_GB2312" w:eastAsia="仿宋_GB2312"/>
          <w:sz w:val="32"/>
          <w:szCs w:val="32"/>
        </w:rPr>
        <w:t>按照“精打细算、勤俭节约”原则，共安排508万元，较上年减少</w:t>
      </w:r>
      <w:r>
        <w:rPr>
          <w:rFonts w:hint="eastAsia" w:ascii="仿宋_GB2312" w:eastAsia="仿宋_GB2312"/>
          <w:sz w:val="32"/>
          <w:szCs w:val="32"/>
          <w:lang w:val="en-US" w:eastAsia="zh-CN"/>
        </w:rPr>
        <w:t>0.3</w:t>
      </w:r>
      <w:r>
        <w:rPr>
          <w:rFonts w:hint="eastAsia" w:ascii="仿宋_GB2312" w:eastAsia="仿宋_GB2312"/>
          <w:sz w:val="32"/>
          <w:szCs w:val="32"/>
        </w:rPr>
        <w:t>万元，其中：一是公务用车购置费0万元，二是公务用车运行维护费508万元。</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（三）公务接待费。</w:t>
      </w:r>
      <w:r>
        <w:rPr>
          <w:rFonts w:hint="eastAsia" w:ascii="仿宋_GB2312" w:eastAsia="仿宋_GB2312"/>
          <w:sz w:val="32"/>
          <w:szCs w:val="32"/>
        </w:rPr>
        <w:t>共安排17</w:t>
      </w:r>
      <w:r>
        <w:rPr>
          <w:rFonts w:hint="eastAsia" w:ascii="仿宋_GB2312" w:eastAsia="仿宋_GB2312"/>
          <w:sz w:val="32"/>
          <w:szCs w:val="32"/>
          <w:lang w:val="en-US" w:eastAsia="zh-CN"/>
        </w:rPr>
        <w:t>0</w:t>
      </w:r>
      <w:r>
        <w:rPr>
          <w:rFonts w:hint="eastAsia" w:ascii="仿宋_GB2312" w:eastAsia="仿宋_GB2312"/>
          <w:sz w:val="32"/>
          <w:szCs w:val="32"/>
        </w:rPr>
        <w:t>万元，较上年减少</w:t>
      </w:r>
      <w:r>
        <w:rPr>
          <w:rFonts w:hint="eastAsia" w:ascii="仿宋_GB2312" w:eastAsia="仿宋_GB2312"/>
          <w:sz w:val="32"/>
          <w:szCs w:val="32"/>
          <w:lang w:val="en-US" w:eastAsia="zh-CN"/>
        </w:rPr>
        <w:t>1.48</w:t>
      </w:r>
      <w:r>
        <w:rPr>
          <w:rFonts w:hint="eastAsia" w:ascii="仿宋_GB2312" w:eastAsia="仿宋_GB2312"/>
          <w:sz w:val="32"/>
          <w:szCs w:val="32"/>
        </w:rPr>
        <w:t>万元，主要是根据厉行节约要求，接待任务安排减少。</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二、县级政府债务及还本付息情况</w:t>
      </w:r>
    </w:p>
    <w:p>
      <w:pPr>
        <w:spacing w:line="560" w:lineRule="exact"/>
        <w:ind w:firstLine="640" w:firstLineChars="200"/>
        <w:rPr>
          <w:rFonts w:ascii="仿宋" w:hAnsi="仿宋" w:eastAsia="仿宋"/>
          <w:bCs/>
          <w:sz w:val="32"/>
          <w:szCs w:val="32"/>
        </w:rPr>
      </w:pPr>
      <w:r>
        <w:rPr>
          <w:rFonts w:hint="eastAsia" w:ascii="楷体" w:hAnsi="楷体" w:eastAsia="楷体"/>
          <w:bCs/>
          <w:sz w:val="32"/>
          <w:szCs w:val="32"/>
        </w:rPr>
        <w:t>（一）一般债务。</w:t>
      </w:r>
      <w:r>
        <w:rPr>
          <w:rFonts w:hint="eastAsia" w:ascii="仿宋" w:hAnsi="仿宋" w:eastAsia="仿宋"/>
          <w:bCs/>
          <w:sz w:val="32"/>
          <w:szCs w:val="32"/>
        </w:rPr>
        <w:t>截至202</w:t>
      </w:r>
      <w:r>
        <w:rPr>
          <w:rFonts w:hint="eastAsia" w:ascii="仿宋" w:hAnsi="仿宋" w:eastAsia="仿宋"/>
          <w:bCs/>
          <w:sz w:val="32"/>
          <w:szCs w:val="32"/>
          <w:lang w:val="en-US" w:eastAsia="zh-CN"/>
        </w:rPr>
        <w:t>4</w:t>
      </w:r>
      <w:r>
        <w:rPr>
          <w:rFonts w:hint="eastAsia" w:ascii="仿宋" w:hAnsi="仿宋" w:eastAsia="仿宋"/>
          <w:bCs/>
          <w:sz w:val="32"/>
          <w:szCs w:val="32"/>
        </w:rPr>
        <w:t>年底，县本级一般债务限额</w:t>
      </w:r>
      <w:r>
        <w:rPr>
          <w:rFonts w:hint="eastAsia" w:ascii="仿宋" w:hAnsi="仿宋" w:eastAsia="仿宋"/>
          <w:bCs/>
          <w:sz w:val="32"/>
          <w:szCs w:val="32"/>
          <w:lang w:val="en-US" w:eastAsia="zh-CN"/>
        </w:rPr>
        <w:t>11.98</w:t>
      </w:r>
      <w:r>
        <w:rPr>
          <w:rFonts w:hint="eastAsia" w:ascii="仿宋" w:hAnsi="仿宋" w:eastAsia="仿宋"/>
          <w:bCs/>
          <w:sz w:val="32"/>
          <w:szCs w:val="32"/>
        </w:rPr>
        <w:t>亿元、一般债务余额</w:t>
      </w:r>
      <w:r>
        <w:rPr>
          <w:rFonts w:hint="eastAsia" w:ascii="仿宋" w:hAnsi="仿宋" w:eastAsia="仿宋"/>
          <w:bCs/>
          <w:sz w:val="32"/>
          <w:szCs w:val="32"/>
          <w:lang w:val="en-US" w:eastAsia="zh-CN"/>
        </w:rPr>
        <w:t>11.58</w:t>
      </w:r>
      <w:r>
        <w:rPr>
          <w:rFonts w:hint="eastAsia" w:ascii="仿宋" w:hAnsi="仿宋" w:eastAsia="仿宋"/>
          <w:bCs/>
          <w:sz w:val="32"/>
          <w:szCs w:val="32"/>
        </w:rPr>
        <w:t>亿元。</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202</w:t>
      </w:r>
      <w:r>
        <w:rPr>
          <w:rFonts w:hint="eastAsia" w:ascii="仿宋" w:hAnsi="仿宋" w:eastAsia="仿宋"/>
          <w:bCs/>
          <w:sz w:val="32"/>
          <w:szCs w:val="32"/>
          <w:lang w:val="en-US" w:eastAsia="zh-CN"/>
        </w:rPr>
        <w:t>5</w:t>
      </w:r>
      <w:r>
        <w:rPr>
          <w:rFonts w:hint="eastAsia" w:ascii="仿宋" w:hAnsi="仿宋" w:eastAsia="仿宋"/>
          <w:bCs/>
          <w:sz w:val="32"/>
          <w:szCs w:val="32"/>
        </w:rPr>
        <w:t>年县本级需偿还地方政府一般债券本息共计</w:t>
      </w:r>
      <w:r>
        <w:rPr>
          <w:rFonts w:hint="eastAsia" w:ascii="仿宋" w:hAnsi="仿宋" w:eastAsia="仿宋"/>
          <w:bCs/>
          <w:sz w:val="32"/>
          <w:szCs w:val="32"/>
          <w:lang w:val="en-US" w:eastAsia="zh-CN"/>
        </w:rPr>
        <w:t>1.08</w:t>
      </w:r>
      <w:r>
        <w:rPr>
          <w:rFonts w:hint="eastAsia" w:ascii="仿宋" w:hAnsi="仿宋" w:eastAsia="仿宋"/>
          <w:bCs/>
          <w:sz w:val="32"/>
          <w:szCs w:val="32"/>
        </w:rPr>
        <w:t>亿元，其中：债券本金0</w:t>
      </w:r>
      <w:r>
        <w:rPr>
          <w:rFonts w:hint="eastAsia" w:ascii="仿宋" w:hAnsi="仿宋" w:eastAsia="仿宋"/>
          <w:bCs/>
          <w:sz w:val="32"/>
          <w:szCs w:val="32"/>
          <w:lang w:val="en-US" w:eastAsia="zh-CN"/>
        </w:rPr>
        <w:t>.63</w:t>
      </w:r>
      <w:r>
        <w:rPr>
          <w:rFonts w:hint="eastAsia" w:ascii="仿宋" w:hAnsi="仿宋" w:eastAsia="仿宋"/>
          <w:bCs/>
          <w:sz w:val="32"/>
          <w:szCs w:val="32"/>
        </w:rPr>
        <w:t>亿元、债券利息0.45亿元。</w:t>
      </w:r>
    </w:p>
    <w:p>
      <w:pPr>
        <w:spacing w:line="560" w:lineRule="exact"/>
        <w:ind w:firstLine="640" w:firstLineChars="200"/>
        <w:rPr>
          <w:rFonts w:ascii="仿宋" w:hAnsi="仿宋" w:eastAsia="仿宋"/>
          <w:bCs/>
          <w:sz w:val="32"/>
          <w:szCs w:val="32"/>
        </w:rPr>
      </w:pPr>
      <w:r>
        <w:rPr>
          <w:rFonts w:hint="eastAsia" w:ascii="楷体" w:hAnsi="楷体" w:eastAsia="楷体"/>
          <w:bCs/>
          <w:sz w:val="32"/>
          <w:szCs w:val="32"/>
        </w:rPr>
        <w:t>（二）专项债券。</w:t>
      </w:r>
      <w:r>
        <w:rPr>
          <w:rFonts w:hint="eastAsia" w:ascii="仿宋" w:hAnsi="仿宋" w:eastAsia="仿宋"/>
          <w:bCs/>
          <w:sz w:val="32"/>
          <w:szCs w:val="32"/>
        </w:rPr>
        <w:t>截至202</w:t>
      </w:r>
      <w:r>
        <w:rPr>
          <w:rFonts w:hint="eastAsia" w:ascii="仿宋" w:hAnsi="仿宋" w:eastAsia="仿宋"/>
          <w:bCs/>
          <w:sz w:val="32"/>
          <w:szCs w:val="32"/>
          <w:lang w:val="en-US" w:eastAsia="zh-CN"/>
        </w:rPr>
        <w:t>4</w:t>
      </w:r>
      <w:r>
        <w:rPr>
          <w:rFonts w:hint="eastAsia" w:ascii="仿宋" w:hAnsi="仿宋" w:eastAsia="仿宋"/>
          <w:bCs/>
          <w:sz w:val="32"/>
          <w:szCs w:val="32"/>
        </w:rPr>
        <w:t>年底，县本级专项债务限额</w:t>
      </w:r>
      <w:r>
        <w:rPr>
          <w:rFonts w:hint="eastAsia" w:ascii="仿宋" w:hAnsi="仿宋" w:eastAsia="仿宋"/>
          <w:bCs/>
          <w:sz w:val="32"/>
          <w:szCs w:val="32"/>
          <w:lang w:val="en-US" w:eastAsia="zh-CN"/>
        </w:rPr>
        <w:t>48.01</w:t>
      </w:r>
      <w:r>
        <w:rPr>
          <w:rFonts w:hint="eastAsia" w:ascii="仿宋" w:hAnsi="仿宋" w:eastAsia="仿宋"/>
          <w:bCs/>
          <w:sz w:val="32"/>
          <w:szCs w:val="32"/>
        </w:rPr>
        <w:t>亿元、专项债务余额</w:t>
      </w:r>
      <w:r>
        <w:rPr>
          <w:rFonts w:hint="eastAsia" w:ascii="仿宋" w:hAnsi="仿宋" w:eastAsia="仿宋"/>
          <w:bCs/>
          <w:sz w:val="32"/>
          <w:szCs w:val="32"/>
          <w:lang w:val="en-US" w:eastAsia="zh-CN"/>
        </w:rPr>
        <w:t>46.91</w:t>
      </w:r>
      <w:r>
        <w:rPr>
          <w:rFonts w:hint="eastAsia" w:ascii="仿宋" w:hAnsi="仿宋" w:eastAsia="仿宋"/>
          <w:bCs/>
          <w:sz w:val="32"/>
          <w:szCs w:val="32"/>
        </w:rPr>
        <w:t xml:space="preserve">亿元。 </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202</w:t>
      </w:r>
      <w:r>
        <w:rPr>
          <w:rFonts w:hint="eastAsia" w:ascii="仿宋" w:hAnsi="仿宋" w:eastAsia="仿宋"/>
          <w:bCs/>
          <w:sz w:val="32"/>
          <w:szCs w:val="32"/>
          <w:lang w:val="en-US" w:eastAsia="zh-CN"/>
        </w:rPr>
        <w:t>5</w:t>
      </w:r>
      <w:r>
        <w:rPr>
          <w:rFonts w:hint="eastAsia" w:ascii="仿宋" w:hAnsi="仿宋" w:eastAsia="仿宋"/>
          <w:bCs/>
          <w:sz w:val="32"/>
          <w:szCs w:val="32"/>
        </w:rPr>
        <w:t>年县本级需偿还地方政府专项债券本息共计2.</w:t>
      </w:r>
      <w:r>
        <w:rPr>
          <w:rFonts w:hint="eastAsia" w:ascii="仿宋" w:hAnsi="仿宋" w:eastAsia="仿宋"/>
          <w:bCs/>
          <w:sz w:val="32"/>
          <w:szCs w:val="32"/>
          <w:lang w:val="en-US" w:eastAsia="zh-CN"/>
        </w:rPr>
        <w:t>5</w:t>
      </w:r>
      <w:r>
        <w:rPr>
          <w:rFonts w:hint="eastAsia" w:ascii="仿宋" w:hAnsi="仿宋" w:eastAsia="仿宋"/>
          <w:bCs/>
          <w:sz w:val="32"/>
          <w:szCs w:val="32"/>
        </w:rPr>
        <w:t>亿元，其中：债券本金</w:t>
      </w:r>
      <w:r>
        <w:rPr>
          <w:rFonts w:hint="eastAsia" w:ascii="仿宋" w:hAnsi="仿宋" w:eastAsia="仿宋"/>
          <w:bCs/>
          <w:sz w:val="32"/>
          <w:szCs w:val="32"/>
          <w:lang w:val="en-US" w:eastAsia="zh-CN"/>
        </w:rPr>
        <w:t>0.97</w:t>
      </w:r>
      <w:r>
        <w:rPr>
          <w:rFonts w:hint="eastAsia" w:ascii="仿宋" w:hAnsi="仿宋" w:eastAsia="仿宋"/>
          <w:bCs/>
          <w:sz w:val="32"/>
          <w:szCs w:val="32"/>
        </w:rPr>
        <w:t>亿元、债券利息1.</w:t>
      </w:r>
      <w:r>
        <w:rPr>
          <w:rFonts w:hint="eastAsia" w:ascii="仿宋" w:hAnsi="仿宋" w:eastAsia="仿宋"/>
          <w:bCs/>
          <w:sz w:val="32"/>
          <w:szCs w:val="32"/>
          <w:lang w:val="en-US" w:eastAsia="zh-CN"/>
        </w:rPr>
        <w:t>53</w:t>
      </w:r>
      <w:r>
        <w:rPr>
          <w:rFonts w:hint="eastAsia" w:ascii="仿宋" w:hAnsi="仿宋" w:eastAsia="仿宋"/>
          <w:bCs/>
          <w:sz w:val="32"/>
          <w:szCs w:val="32"/>
        </w:rPr>
        <w:t>亿元。</w:t>
      </w: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三、财政转移支付预算安排情况</w:t>
      </w:r>
    </w:p>
    <w:p>
      <w:pPr>
        <w:spacing w:line="360" w:lineRule="auto"/>
        <w:ind w:firstLine="640" w:firstLineChars="200"/>
        <w:rPr>
          <w:rFonts w:ascii="仿宋_GB2312" w:eastAsia="仿宋_GB2312"/>
          <w:sz w:val="32"/>
          <w:szCs w:val="32"/>
        </w:rPr>
      </w:pPr>
      <w:r>
        <w:rPr>
          <w:rFonts w:hint="eastAsia" w:ascii="楷体" w:hAnsi="楷体" w:eastAsia="楷体"/>
          <w:bCs/>
          <w:sz w:val="32"/>
          <w:szCs w:val="32"/>
        </w:rPr>
        <w:t>（一）一般公共预算转移支付</w:t>
      </w:r>
      <w:r>
        <w:rPr>
          <w:rFonts w:hint="eastAsia" w:ascii="楷体" w:hAnsi="楷体" w:eastAsia="楷体"/>
          <w:bCs/>
          <w:sz w:val="32"/>
          <w:szCs w:val="32"/>
          <w:lang w:val="en-US" w:eastAsia="zh-CN"/>
        </w:rPr>
        <w:t>114927</w:t>
      </w:r>
      <w:r>
        <w:rPr>
          <w:rFonts w:hint="eastAsia" w:ascii="楷体" w:hAnsi="楷体" w:eastAsia="楷体"/>
          <w:bCs/>
          <w:sz w:val="32"/>
          <w:szCs w:val="32"/>
        </w:rPr>
        <w:t>万元。</w:t>
      </w:r>
      <w:r>
        <w:rPr>
          <w:rFonts w:hint="eastAsia" w:ascii="仿宋_GB2312" w:eastAsia="仿宋_GB2312"/>
          <w:sz w:val="32"/>
          <w:szCs w:val="32"/>
        </w:rPr>
        <w:t>其中：税收返还收入</w:t>
      </w:r>
      <w:r>
        <w:rPr>
          <w:rFonts w:hint="eastAsia" w:ascii="仿宋_GB2312" w:eastAsia="仿宋_GB2312"/>
          <w:sz w:val="32"/>
          <w:szCs w:val="32"/>
          <w:lang w:val="en-US" w:eastAsia="zh-CN"/>
        </w:rPr>
        <w:t>4341</w:t>
      </w:r>
      <w:r>
        <w:rPr>
          <w:rFonts w:hint="eastAsia" w:ascii="仿宋_GB2312" w:eastAsia="仿宋_GB2312"/>
          <w:sz w:val="32"/>
          <w:szCs w:val="32"/>
        </w:rPr>
        <w:t>万元、一般性转移支付</w:t>
      </w:r>
      <w:r>
        <w:rPr>
          <w:rFonts w:hint="eastAsia" w:ascii="仿宋_GB2312" w:eastAsia="仿宋_GB2312"/>
          <w:sz w:val="32"/>
          <w:szCs w:val="32"/>
          <w:lang w:val="en-US" w:eastAsia="zh-CN"/>
        </w:rPr>
        <w:t>107456</w:t>
      </w:r>
      <w:r>
        <w:rPr>
          <w:rFonts w:hint="eastAsia" w:ascii="仿宋_GB2312" w:eastAsia="仿宋_GB2312"/>
          <w:sz w:val="32"/>
          <w:szCs w:val="32"/>
        </w:rPr>
        <w:t>万元、专项转移支付</w:t>
      </w:r>
      <w:r>
        <w:rPr>
          <w:rFonts w:hint="eastAsia" w:ascii="仿宋_GB2312" w:eastAsia="仿宋_GB2312"/>
          <w:sz w:val="32"/>
          <w:szCs w:val="32"/>
          <w:lang w:val="en-US" w:eastAsia="zh-CN"/>
        </w:rPr>
        <w:t>3131</w:t>
      </w:r>
      <w:r>
        <w:rPr>
          <w:rFonts w:hint="eastAsia" w:ascii="仿宋_GB2312" w:eastAsia="仿宋_GB2312"/>
          <w:sz w:val="32"/>
          <w:szCs w:val="32"/>
        </w:rPr>
        <w:t>万元。</w:t>
      </w:r>
    </w:p>
    <w:p>
      <w:pPr>
        <w:spacing w:line="360" w:lineRule="auto"/>
        <w:ind w:firstLine="640" w:firstLineChars="200"/>
        <w:rPr>
          <w:rFonts w:ascii="楷体" w:hAnsi="楷体" w:eastAsia="楷体"/>
          <w:bCs/>
          <w:sz w:val="32"/>
          <w:szCs w:val="32"/>
        </w:rPr>
      </w:pPr>
      <w:r>
        <w:rPr>
          <w:rFonts w:hint="eastAsia" w:ascii="楷体" w:hAnsi="楷体" w:eastAsia="楷体"/>
          <w:bCs/>
          <w:sz w:val="32"/>
          <w:szCs w:val="32"/>
        </w:rPr>
        <w:t>（二）政府性基金预算转移支付</w:t>
      </w:r>
      <w:r>
        <w:rPr>
          <w:rFonts w:hint="eastAsia" w:ascii="楷体" w:hAnsi="楷体" w:eastAsia="楷体"/>
          <w:bCs/>
          <w:sz w:val="32"/>
          <w:szCs w:val="32"/>
          <w:lang w:val="en-US" w:eastAsia="zh-CN"/>
        </w:rPr>
        <w:t>43691</w:t>
      </w:r>
      <w:r>
        <w:rPr>
          <w:rFonts w:hint="eastAsia" w:ascii="楷体" w:hAnsi="楷体" w:eastAsia="楷体"/>
          <w:bCs/>
          <w:sz w:val="32"/>
          <w:szCs w:val="32"/>
        </w:rPr>
        <w:t>万元。</w:t>
      </w:r>
    </w:p>
    <w:p>
      <w:pPr>
        <w:spacing w:line="360" w:lineRule="auto"/>
        <w:ind w:firstLine="640" w:firstLineChars="200"/>
        <w:rPr>
          <w:rFonts w:ascii="黑体" w:hAnsi="黑体" w:eastAsia="黑体"/>
          <w:bCs/>
          <w:sz w:val="32"/>
          <w:szCs w:val="32"/>
        </w:rPr>
      </w:pPr>
      <w:r>
        <w:rPr>
          <w:rFonts w:hint="eastAsia" w:ascii="楷体" w:hAnsi="楷体" w:eastAsia="楷体"/>
          <w:bCs/>
          <w:sz w:val="32"/>
          <w:szCs w:val="32"/>
        </w:rPr>
        <w:t>（三）国有资本经营预算转移支付6万元。</w:t>
      </w: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四、预算绩效管理工作开展情况</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1.制度建设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以来，我局进一步强化、完善预算绩效管理制度体系。印发了《高阳县财政局全面实施预算绩效管理推进工作方案》（高财预〔2019〕21号）、《高阳县财政局县级部门预算项目绩效自评管理办法》（高财监〔2020〕6号）、《高阳县财政局县级预算绩效重点评价管理办法》（高财监〔2020〕7号）、《高阳县财政局县级部门预算绩效管理工作考核办法》（高财预〔2021〕307号）、《高阳县县级部门委托第三方机构参与预算绩效管理办法》、《高阳县财政局财政支出预算绩效管理内部工作规程》（高财预〔2022〕28号）、《高阳县财政局关于预算项目事前绩效评估全覆盖的通知》（高财预〔2022〕27号）、高阳县财政局关于《县级部门项目支出核心绩效目标和指标设置及取值指引（试行）》（高财预〔2022〕24号）、高阳县财政局《关于制定分行业分领域绩效指标和标准体系的通知》</w:t>
      </w:r>
      <w:r>
        <w:rPr>
          <w:rFonts w:hint="eastAsia" w:ascii="仿宋_GB2312" w:eastAsia="仿宋_GB2312"/>
          <w:sz w:val="32"/>
          <w:szCs w:val="32"/>
          <w:lang w:eastAsia="zh-CN"/>
        </w:rPr>
        <w:t>、</w:t>
      </w:r>
      <w:r>
        <w:rPr>
          <w:rFonts w:hint="eastAsia" w:ascii="仿宋_GB2312" w:hAnsi="宋体" w:eastAsia="仿宋_GB2312" w:cs="宋体"/>
          <w:sz w:val="32"/>
          <w:szCs w:val="32"/>
        </w:rPr>
        <w:t>《高阳县预算绩效目标设定规范管理办法》（</w:t>
      </w:r>
      <w:r>
        <w:rPr>
          <w:rFonts w:hint="eastAsia" w:ascii="仿宋_GB2312" w:hAnsi="宋体" w:eastAsia="仿宋_GB2312" w:cs="宋体"/>
          <w:sz w:val="32"/>
          <w:szCs w:val="32"/>
          <w:lang w:val="en-US" w:eastAsia="zh-CN"/>
        </w:rPr>
        <w:t>高财稽查</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hAnsi="宋体" w:eastAsia="仿宋_GB2312" w:cs="宋体"/>
          <w:sz w:val="32"/>
          <w:szCs w:val="32"/>
        </w:rPr>
        <w:t>17号）</w:t>
      </w:r>
      <w:r>
        <w:rPr>
          <w:rFonts w:hint="eastAsia" w:ascii="仿宋_GB2312" w:eastAsia="仿宋_GB2312"/>
          <w:sz w:val="32"/>
          <w:szCs w:val="32"/>
        </w:rPr>
        <w:t>等一系列文件，使我县预算绩效管理工作更加具体、丰富。</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2、事前绩效评估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我局印发了《高阳县财政支出事前绩效评估管理办法》（高财字〔2019〕368号）、《高阳县财政局</w:t>
      </w:r>
      <w:bookmarkStart w:id="1" w:name="_GoBack"/>
      <w:bookmarkEnd w:id="1"/>
      <w:r>
        <w:rPr>
          <w:rFonts w:hint="eastAsia" w:ascii="仿宋_GB2312" w:eastAsia="仿宋_GB2312"/>
          <w:sz w:val="32"/>
          <w:szCs w:val="32"/>
        </w:rPr>
        <w:t>关于开展2024年事前绩效评估有关工作的通知》（高财稽查〔2024〕18号）。202</w:t>
      </w:r>
      <w:r>
        <w:rPr>
          <w:rFonts w:hint="eastAsia" w:ascii="仿宋_GB2312" w:eastAsia="仿宋_GB2312"/>
          <w:sz w:val="32"/>
          <w:szCs w:val="32"/>
          <w:lang w:val="en-US" w:eastAsia="zh-CN"/>
        </w:rPr>
        <w:t>4</w:t>
      </w:r>
      <w:r>
        <w:rPr>
          <w:rFonts w:hint="eastAsia" w:ascii="仿宋_GB2312" w:eastAsia="仿宋_GB2312"/>
          <w:sz w:val="32"/>
          <w:szCs w:val="32"/>
        </w:rPr>
        <w:t>年聘请</w:t>
      </w:r>
      <w:r>
        <w:rPr>
          <w:rFonts w:hint="eastAsia" w:ascii="仿宋_GB2312" w:hAnsi="宋体" w:eastAsia="仿宋_GB2312" w:cs="宋体"/>
          <w:sz w:val="32"/>
          <w:szCs w:val="32"/>
        </w:rPr>
        <w:t>河北京韬信息咨询服务有限公司</w:t>
      </w:r>
      <w:r>
        <w:rPr>
          <w:rFonts w:hint="eastAsia" w:ascii="仿宋_GB2312" w:eastAsia="仿宋_GB2312"/>
          <w:sz w:val="32"/>
          <w:szCs w:val="32"/>
        </w:rPr>
        <w:t>承担此次事前评估工作。评估结论为：11个项目中，部分支持6个，不予支持5个。审减资金</w:t>
      </w:r>
      <w:r>
        <w:rPr>
          <w:rFonts w:hint="eastAsia" w:ascii="仿宋_GB2312" w:eastAsia="仿宋_GB2312"/>
          <w:sz w:val="32"/>
          <w:szCs w:val="32"/>
          <w:lang w:val="en-US" w:eastAsia="zh-CN"/>
        </w:rPr>
        <w:t>165.68</w:t>
      </w:r>
      <w:r>
        <w:rPr>
          <w:rFonts w:hint="eastAsia" w:ascii="仿宋_GB2312" w:eastAsia="仿宋_GB2312"/>
          <w:sz w:val="32"/>
          <w:szCs w:val="32"/>
        </w:rPr>
        <w:t>万元。针对202</w:t>
      </w:r>
      <w:r>
        <w:rPr>
          <w:rFonts w:hint="eastAsia" w:ascii="仿宋_GB2312" w:eastAsia="仿宋_GB2312"/>
          <w:sz w:val="32"/>
          <w:szCs w:val="32"/>
          <w:lang w:val="en-US" w:eastAsia="zh-CN"/>
        </w:rPr>
        <w:t>5</w:t>
      </w:r>
      <w:r>
        <w:rPr>
          <w:rFonts w:hint="eastAsia" w:ascii="仿宋_GB2312" w:eastAsia="仿宋_GB2312"/>
          <w:sz w:val="32"/>
          <w:szCs w:val="32"/>
        </w:rPr>
        <w:t>年预算项目，县级预算部门已开展新出台或到期延续重大政策（项目）的事前绩效评估工作。</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3、绩效目标管理</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印发了《高阳县财政局关于做好2025年度部门预算绩效目标编制工作的通知》（高财稽查〔2024〕19号），要求各部门要高度重视做好2025年部门预算绩效文本编制工作，实现了县级预算部门整体绩效目标管理全覆盖。同时聘请第三方机构对各部门预算整体绩效目标和项目绩效目标指标集中会审，审核每个项目绩效指标是否全面体现、是否数值量化。</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4、绩效监控管理</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印发了《高阳县财政资金绩效评价、监控结果挂钩机制》（高财预〔2020〕46号）、《高阳县财政局关于开展2024年度预算绩效运行监控工作的通知》（高财稽查〔2024〕10号），</w:t>
      </w:r>
      <w:r>
        <w:rPr>
          <w:rFonts w:hint="eastAsia" w:ascii="仿宋_GB2312" w:eastAsia="仿宋_GB2312"/>
          <w:sz w:val="32"/>
          <w:szCs w:val="32"/>
        </w:rPr>
        <w:t>对县级所有预算部门整体绩效目标和1852个预算项目绩效目标开展了绩效监控，涉及项目资金</w:t>
      </w:r>
      <w:r>
        <w:rPr>
          <w:rFonts w:hint="eastAsia" w:ascii="仿宋_GB2312" w:hAnsi="仿宋_GB2312" w:eastAsia="仿宋_GB2312" w:cs="仿宋_GB2312"/>
          <w:sz w:val="32"/>
          <w:szCs w:val="32"/>
        </w:rPr>
        <w:t>344185.2</w:t>
      </w:r>
      <w:r>
        <w:rPr>
          <w:rFonts w:hint="eastAsia" w:ascii="仿宋_GB2312" w:eastAsia="仿宋_GB2312"/>
          <w:sz w:val="32"/>
          <w:szCs w:val="32"/>
        </w:rPr>
        <w:t>万元。其中：预计不能完成绩效目标的项目有</w:t>
      </w:r>
      <w:r>
        <w:rPr>
          <w:rFonts w:hint="eastAsia" w:ascii="仿宋_GB2312" w:hAnsi="仿宋_GB2312" w:eastAsia="仿宋_GB2312" w:cs="仿宋_GB2312"/>
          <w:sz w:val="32"/>
          <w:szCs w:val="32"/>
        </w:rPr>
        <w:t>25</w:t>
      </w:r>
      <w:r>
        <w:rPr>
          <w:rFonts w:hint="eastAsia" w:ascii="仿宋_GB2312" w:eastAsia="仿宋_GB2312"/>
          <w:sz w:val="32"/>
          <w:szCs w:val="32"/>
        </w:rPr>
        <w:t>个，涉及资金</w:t>
      </w:r>
      <w:r>
        <w:rPr>
          <w:rFonts w:hint="eastAsia" w:ascii="仿宋_GB2312" w:hAnsi="仿宋_GB2312" w:eastAsia="仿宋_GB2312" w:cs="仿宋_GB2312"/>
          <w:sz w:val="32"/>
          <w:szCs w:val="32"/>
        </w:rPr>
        <w:t>14575.1</w:t>
      </w:r>
      <w:r>
        <w:rPr>
          <w:rFonts w:hint="eastAsia" w:ascii="仿宋_GB2312" w:eastAsia="仿宋_GB2312"/>
          <w:sz w:val="32"/>
          <w:szCs w:val="32"/>
        </w:rPr>
        <w:t>万元。预计年底完成情况与年初目标差距较大的项目有35个，涉及资金</w:t>
      </w:r>
      <w:r>
        <w:rPr>
          <w:rFonts w:hint="eastAsia" w:ascii="仿宋_GB2312" w:hAnsi="仿宋_GB2312" w:eastAsia="仿宋_GB2312" w:cs="仿宋_GB2312"/>
          <w:sz w:val="32"/>
          <w:szCs w:val="32"/>
        </w:rPr>
        <w:t>8089.2</w:t>
      </w:r>
      <w:r>
        <w:rPr>
          <w:rFonts w:hint="eastAsia" w:ascii="仿宋_GB2312" w:eastAsia="仿宋_GB2312"/>
          <w:sz w:val="32"/>
          <w:szCs w:val="32"/>
        </w:rPr>
        <w:t>万元。</w:t>
      </w:r>
      <w:r>
        <w:rPr>
          <w:rFonts w:hint="eastAsia" w:ascii="仿宋_GB2312" w:hAnsi="宋体" w:eastAsia="仿宋_GB2312" w:cs="宋体"/>
          <w:sz w:val="32"/>
          <w:szCs w:val="32"/>
        </w:rPr>
        <w:t>对绩效目标实现程度和预算执行进度实行双监控。</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5、绩效评价管理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（1）全面开展部门自评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印发了《高阳县财政局县级部门预算项目绩效自评管理办法》（高财监〔2020〕6号）、《高阳县财政局关于做好2023年度县级预算项目绩效自评工作的通知》（高财稽查〔2024〕1号）。根据2023年县级预算项目绩效自评工作计划，组织了县级各预算部门（乡镇）及其下属单位对2024年度部门管理或使用的所有专项资金和整体支出开展绩效自评工作，已完成绩效自评目标1257个，涉及资金397093万元。并于3月底前财政局部门预算主管股室核查部门绩效自评情况，将核查结果反馈预算部门并督促整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（2）财政重点绩效评价</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印发了《高阳县财政局县级预算绩效重点评价管理办法》（高财监〔2020〕7号）、《高阳县财政局关于2024年县级财政重点绩效评价计划的通知》（高财稽查〔2024〕12号）、《高阳县财政局关于2024年县级部门重点绩效评价计划的通知》（高财稽查〔2024〕13号）、</w:t>
      </w:r>
      <w:r>
        <w:rPr>
          <w:rFonts w:hint="eastAsia" w:ascii="仿宋_GB2312" w:hAnsi="宋体" w:eastAsia="仿宋_GB2312" w:cs="宋体"/>
          <w:bCs/>
          <w:sz w:val="32"/>
          <w:szCs w:val="32"/>
        </w:rPr>
        <w:t>根据2024年县级财政重点绩效评价计划，财政抽出专人，同时聘请第三方对高阳县2023年10个财政重点项目进行了绩效评价，共涉及9个单位。形成了财政重点绩效评价报告。根据评价结果，9个项目评价为“优”，1个评价为“良”。共涉及资金12532.46万元。</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6、绩效结果应用</w:t>
      </w:r>
    </w:p>
    <w:p>
      <w:pPr>
        <w:spacing w:after="0" w:line="56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1）绩效评价结果应用：工作完成后，县级财政部门向县政府、县人大报送了《高阳县财政局关于2024年县级财政重点项目绩效评价情况的报告》，在2025年预算安排中，对9个评价为“优”的项目全部支持、对1个评价为“良”的项目予以部分支持。</w:t>
      </w:r>
    </w:p>
    <w:p>
      <w:pPr>
        <w:spacing w:after="0" w:line="56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2）事前绩效评估结果应用：建议项目实施单位对照评估报告提出的问题进行认真整改完善。在2025年预算安排中，8个项目支持2个，部分支持2个，不予支持4个。在365.736万元中，支持200.056万元，审减资金165.68万元。</w:t>
      </w:r>
    </w:p>
    <w:p>
      <w:pPr>
        <w:spacing w:after="0" w:line="560" w:lineRule="exact"/>
        <w:ind w:firstLine="640" w:firstLineChars="200"/>
        <w:jc w:val="both"/>
        <w:rPr>
          <w:rFonts w:hint="eastAsia" w:ascii="仿宋_GB2312" w:eastAsia="仿宋_GB2312"/>
          <w:sz w:val="32"/>
          <w:szCs w:val="32"/>
        </w:rPr>
      </w:pPr>
      <w:r>
        <w:rPr>
          <w:rFonts w:hint="eastAsia" w:ascii="仿宋_GB2312" w:hAnsi="宋体" w:eastAsia="仿宋_GB2312" w:cs="宋体"/>
          <w:sz w:val="32"/>
          <w:szCs w:val="32"/>
        </w:rPr>
        <w:t>（3）绩效监控结果应用：</w:t>
      </w:r>
      <w:r>
        <w:rPr>
          <w:rFonts w:hint="eastAsia" w:ascii="仿宋_GB2312" w:eastAsia="仿宋_GB2312"/>
          <w:sz w:val="32"/>
          <w:szCs w:val="32"/>
        </w:rPr>
        <w:t>2024年7月，印发《高阳县财政局关于开展高阳县县级部门预算绩效运行监控工作的通知》（高财稽查</w:t>
      </w:r>
      <w:r>
        <w:rPr>
          <w:rFonts w:hint="eastAsia" w:ascii="仿宋_GB2312" w:hAnsi="仿宋_GB2312" w:eastAsia="仿宋_GB2312" w:cs="仿宋_GB2312"/>
          <w:sz w:val="32"/>
          <w:szCs w:val="32"/>
        </w:rPr>
        <w:t>〔2024〕</w:t>
      </w:r>
      <w:r>
        <w:rPr>
          <w:rFonts w:hint="eastAsia" w:ascii="仿宋_GB2312" w:eastAsia="仿宋_GB2312"/>
          <w:sz w:val="32"/>
          <w:szCs w:val="32"/>
        </w:rPr>
        <w:t>10号），对县级所有预算部门整体绩效目标和1852个预算项目绩效目标开展了绩效监控，涉及项目资金</w:t>
      </w:r>
      <w:r>
        <w:rPr>
          <w:rFonts w:hint="eastAsia" w:ascii="仿宋_GB2312" w:hAnsi="仿宋_GB2312" w:eastAsia="仿宋_GB2312" w:cs="仿宋_GB2312"/>
          <w:sz w:val="32"/>
          <w:szCs w:val="32"/>
        </w:rPr>
        <w:t>344185.2</w:t>
      </w:r>
      <w:r>
        <w:rPr>
          <w:rFonts w:hint="eastAsia" w:ascii="仿宋_GB2312" w:eastAsia="仿宋_GB2312"/>
          <w:sz w:val="32"/>
          <w:szCs w:val="32"/>
        </w:rPr>
        <w:t>万元。其中：预计不能完成绩效目标的项目有</w:t>
      </w:r>
      <w:r>
        <w:rPr>
          <w:rFonts w:hint="eastAsia" w:ascii="仿宋_GB2312" w:hAnsi="仿宋_GB2312" w:eastAsia="仿宋_GB2312" w:cs="仿宋_GB2312"/>
          <w:sz w:val="32"/>
          <w:szCs w:val="32"/>
        </w:rPr>
        <w:t>25</w:t>
      </w:r>
      <w:r>
        <w:rPr>
          <w:rFonts w:hint="eastAsia" w:ascii="仿宋_GB2312" w:eastAsia="仿宋_GB2312"/>
          <w:sz w:val="32"/>
          <w:szCs w:val="32"/>
        </w:rPr>
        <w:t>个，涉及资金</w:t>
      </w:r>
      <w:r>
        <w:rPr>
          <w:rFonts w:hint="eastAsia" w:ascii="仿宋_GB2312" w:hAnsi="仿宋_GB2312" w:eastAsia="仿宋_GB2312" w:cs="仿宋_GB2312"/>
          <w:sz w:val="32"/>
          <w:szCs w:val="32"/>
        </w:rPr>
        <w:t>14575.1</w:t>
      </w:r>
      <w:r>
        <w:rPr>
          <w:rFonts w:hint="eastAsia" w:ascii="仿宋_GB2312" w:eastAsia="仿宋_GB2312"/>
          <w:sz w:val="32"/>
          <w:szCs w:val="32"/>
        </w:rPr>
        <w:t>万元。预计年底完成情况与年初目标差距较大的项目有35个，涉及资金</w:t>
      </w:r>
      <w:r>
        <w:rPr>
          <w:rFonts w:hint="eastAsia" w:ascii="仿宋_GB2312" w:hAnsi="仿宋_GB2312" w:eastAsia="仿宋_GB2312" w:cs="仿宋_GB2312"/>
          <w:sz w:val="32"/>
          <w:szCs w:val="32"/>
        </w:rPr>
        <w:t>8089.2</w:t>
      </w:r>
      <w:r>
        <w:rPr>
          <w:rFonts w:hint="eastAsia" w:ascii="仿宋_GB2312" w:eastAsia="仿宋_GB2312"/>
          <w:sz w:val="32"/>
          <w:szCs w:val="32"/>
        </w:rPr>
        <w:t>万元。</w:t>
      </w:r>
    </w:p>
    <w:p>
      <w:pPr>
        <w:widowControl w:val="0"/>
        <w:adjustRightInd/>
        <w:snapToGrid/>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针对预算绩效监控结果较差的项目，2024年采取暂停或停止拨款、调整预算、调整绩效目标指标等措施。针对年度内预计不能实施，资金不能支出的项目，由财政收回统筹用于县委</w:t>
      </w:r>
      <w:r>
        <w:rPr>
          <w:rFonts w:hint="eastAsia" w:ascii="仿宋_GB2312" w:eastAsia="仿宋_GB2312"/>
          <w:sz w:val="32"/>
          <w:szCs w:val="32"/>
          <w:lang w:val="en-US" w:eastAsia="zh-CN"/>
        </w:rPr>
        <w:t>县</w:t>
      </w:r>
      <w:r>
        <w:rPr>
          <w:rFonts w:hint="eastAsia" w:ascii="仿宋_GB2312" w:eastAsia="仿宋_GB2312"/>
          <w:sz w:val="32"/>
          <w:szCs w:val="32"/>
        </w:rPr>
        <w:t>政府确定的急需支出。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（4）坚持绩效信息公开，将自评报告及财政重点评价报告都及时上传到了“高阳县人民政府门户网站”向社会公开。</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五、重大政策和重点项目等绩效目标</w:t>
      </w:r>
    </w:p>
    <w:p>
      <w:pPr>
        <w:spacing w:line="560" w:lineRule="exact"/>
        <w:ind w:firstLine="640" w:firstLineChars="200"/>
        <w:rPr>
          <w:rFonts w:ascii="黑体" w:hAnsi="黑体" w:eastAsia="黑体"/>
          <w:sz w:val="32"/>
          <w:szCs w:val="32"/>
        </w:rPr>
      </w:pPr>
    </w:p>
    <w:p>
      <w:pPr>
        <w:outlineLvl w:val="3"/>
        <w:rPr>
          <w:highlight w:val="none"/>
        </w:rPr>
      </w:pPr>
      <w:bookmarkStart w:id="0" w:name="_Toc_4_4_0000000038"/>
      <w:r>
        <w:rPr>
          <w:rFonts w:ascii="方正仿宋_GBK" w:hAnsi="方正仿宋_GBK" w:eastAsia="方正仿宋_GBK" w:cs="方正仿宋_GBK"/>
          <w:color w:val="000000"/>
          <w:sz w:val="28"/>
          <w:highlight w:val="none"/>
        </w:rPr>
        <w:t>千里堤加固工程（高阳段）绩效目标表</w:t>
      </w:r>
      <w:bookmarkEnd w:id="0"/>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0"/>
              <w:rPr>
                <w:highlight w:val="none"/>
                <w:lang w:eastAsia="zh-CN"/>
              </w:rPr>
            </w:pPr>
          </w:p>
        </w:tc>
        <w:tc>
          <w:tcPr>
            <w:tcW w:w="1843" w:type="dxa"/>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rPr>
          <w:trHeight w:val="369" w:hRule="atLeast"/>
          <w:jc w:val="center"/>
        </w:trPr>
        <w:tc>
          <w:tcPr>
            <w:tcW w:w="1276" w:type="dxa"/>
            <w:vAlign w:val="center"/>
          </w:tcPr>
          <w:p>
            <w:pPr>
              <w:pStyle w:val="12"/>
              <w:rPr>
                <w:highlight w:val="none"/>
              </w:rPr>
            </w:pPr>
            <w:r>
              <w:rPr>
                <w:highlight w:val="none"/>
              </w:rPr>
              <w:t>项目编码</w:t>
            </w:r>
          </w:p>
        </w:tc>
        <w:tc>
          <w:tcPr>
            <w:tcW w:w="2608" w:type="dxa"/>
            <w:gridSpan w:val="2"/>
            <w:vAlign w:val="center"/>
          </w:tcPr>
          <w:p>
            <w:pPr>
              <w:pStyle w:val="11"/>
              <w:rPr>
                <w:highlight w:val="none"/>
              </w:rPr>
            </w:pPr>
            <w:r>
              <w:rPr>
                <w:highlight w:val="none"/>
              </w:rPr>
              <w:t>13062823P000212100029</w:t>
            </w:r>
          </w:p>
        </w:tc>
        <w:tc>
          <w:tcPr>
            <w:tcW w:w="1587" w:type="dxa"/>
            <w:vAlign w:val="center"/>
          </w:tcPr>
          <w:p>
            <w:pPr>
              <w:pStyle w:val="12"/>
              <w:rPr>
                <w:highlight w:val="none"/>
              </w:rPr>
            </w:pPr>
            <w:r>
              <w:rPr>
                <w:highlight w:val="none"/>
              </w:rPr>
              <w:t>项目名称</w:t>
            </w:r>
          </w:p>
        </w:tc>
        <w:tc>
          <w:tcPr>
            <w:tcW w:w="4423" w:type="dxa"/>
            <w:gridSpan w:val="3"/>
            <w:vAlign w:val="center"/>
          </w:tcPr>
          <w:p>
            <w:pPr>
              <w:pStyle w:val="11"/>
              <w:rPr>
                <w:highlight w:val="none"/>
              </w:rPr>
            </w:pPr>
            <w:r>
              <w:rPr>
                <w:highlight w:val="none"/>
              </w:rPr>
              <w:t>千里堤加固工程（高阳段）</w:t>
            </w:r>
          </w:p>
        </w:tc>
      </w:tr>
      <w:tr>
        <w:trPr>
          <w:trHeight w:val="369" w:hRule="atLeast"/>
          <w:jc w:val="center"/>
        </w:trPr>
        <w:tc>
          <w:tcPr>
            <w:tcW w:w="1276" w:type="dxa"/>
            <w:vMerge w:val="restart"/>
            <w:vAlign w:val="center"/>
          </w:tcPr>
          <w:p>
            <w:pPr>
              <w:pStyle w:val="12"/>
              <w:rPr>
                <w:highlight w:val="none"/>
              </w:rPr>
            </w:pPr>
            <w:r>
              <w:rPr>
                <w:highlight w:val="none"/>
              </w:rPr>
              <w:t>预算规模及资金用途</w:t>
            </w:r>
          </w:p>
        </w:tc>
        <w:tc>
          <w:tcPr>
            <w:tcW w:w="1276" w:type="dxa"/>
            <w:vAlign w:val="center"/>
          </w:tcPr>
          <w:p>
            <w:pPr>
              <w:pStyle w:val="12"/>
              <w:rPr>
                <w:highlight w:val="none"/>
              </w:rPr>
            </w:pPr>
            <w:r>
              <w:rPr>
                <w:highlight w:val="none"/>
              </w:rPr>
              <w:t>预算数</w:t>
            </w:r>
          </w:p>
        </w:tc>
        <w:tc>
          <w:tcPr>
            <w:tcW w:w="1332" w:type="dxa"/>
            <w:vAlign w:val="center"/>
          </w:tcPr>
          <w:p>
            <w:pPr>
              <w:pStyle w:val="11"/>
              <w:rPr>
                <w:highlight w:val="none"/>
              </w:rPr>
            </w:pPr>
            <w:r>
              <w:rPr>
                <w:highlight w:val="none"/>
              </w:rPr>
              <w:t>4000.00</w:t>
            </w:r>
          </w:p>
        </w:tc>
        <w:tc>
          <w:tcPr>
            <w:tcW w:w="1587" w:type="dxa"/>
            <w:vAlign w:val="center"/>
          </w:tcPr>
          <w:p>
            <w:pPr>
              <w:pStyle w:val="12"/>
              <w:rPr>
                <w:highlight w:val="none"/>
              </w:rPr>
            </w:pPr>
            <w:r>
              <w:rPr>
                <w:highlight w:val="none"/>
              </w:rPr>
              <w:t>其中：财政    资金</w:t>
            </w:r>
          </w:p>
        </w:tc>
        <w:tc>
          <w:tcPr>
            <w:tcW w:w="1304" w:type="dxa"/>
            <w:vAlign w:val="center"/>
          </w:tcPr>
          <w:p>
            <w:pPr>
              <w:pStyle w:val="11"/>
              <w:rPr>
                <w:highlight w:val="none"/>
              </w:rPr>
            </w:pPr>
            <w:r>
              <w:rPr>
                <w:highlight w:val="none"/>
              </w:rPr>
              <w:t>4000.00</w:t>
            </w:r>
          </w:p>
        </w:tc>
        <w:tc>
          <w:tcPr>
            <w:tcW w:w="1276" w:type="dxa"/>
            <w:vAlign w:val="center"/>
          </w:tcPr>
          <w:p>
            <w:pPr>
              <w:pStyle w:val="12"/>
              <w:rPr>
                <w:highlight w:val="none"/>
              </w:rPr>
            </w:pPr>
            <w:r>
              <w:rPr>
                <w:highlight w:val="none"/>
              </w:rPr>
              <w:t>其他资金</w:t>
            </w:r>
          </w:p>
        </w:tc>
        <w:tc>
          <w:tcPr>
            <w:tcW w:w="1843" w:type="dxa"/>
            <w:vAlign w:val="center"/>
          </w:tcPr>
          <w:p>
            <w:pPr>
              <w:pStyle w:val="11"/>
              <w:rPr>
                <w:highlight w:val="none"/>
              </w:rPr>
            </w:pPr>
            <w:r>
              <w:rPr>
                <w:highlight w:val="none"/>
              </w:rPr>
              <w:t xml:space="preserve"> </w:t>
            </w:r>
          </w:p>
        </w:tc>
      </w:tr>
      <w:tr>
        <w:trPr>
          <w:trHeight w:val="369" w:hRule="atLeast"/>
          <w:jc w:val="center"/>
        </w:trPr>
        <w:tc>
          <w:tcPr>
            <w:tcW w:w="1276" w:type="dxa"/>
            <w:vMerge w:val="continue"/>
            <w:vAlign w:val="top"/>
          </w:tcPr>
          <w:p>
            <w:pPr>
              <w:rPr>
                <w:highlight w:val="none"/>
              </w:rPr>
            </w:pPr>
          </w:p>
        </w:tc>
        <w:tc>
          <w:tcPr>
            <w:tcW w:w="8618" w:type="dxa"/>
            <w:gridSpan w:val="6"/>
            <w:vAlign w:val="center"/>
          </w:tcPr>
          <w:p>
            <w:pPr>
              <w:pStyle w:val="11"/>
              <w:rPr>
                <w:highlight w:val="none"/>
              </w:rPr>
            </w:pPr>
            <w:r>
              <w:rPr>
                <w:highlight w:val="none"/>
              </w:rPr>
              <w:t>对千里堤进行整修加固等工程</w:t>
            </w:r>
          </w:p>
        </w:tc>
      </w:tr>
      <w:tr>
        <w:trPr>
          <w:trHeight w:val="369" w:hRule="atLeast"/>
          <w:jc w:val="center"/>
        </w:trPr>
        <w:tc>
          <w:tcPr>
            <w:tcW w:w="1276" w:type="dxa"/>
            <w:vMerge w:val="restart"/>
            <w:vAlign w:val="center"/>
          </w:tcPr>
          <w:p>
            <w:pPr>
              <w:pStyle w:val="12"/>
              <w:rPr>
                <w:highlight w:val="none"/>
              </w:rPr>
            </w:pPr>
            <w:r>
              <w:rPr>
                <w:highlight w:val="none"/>
              </w:rPr>
              <w:t>资金支出计划（%）</w:t>
            </w:r>
          </w:p>
        </w:tc>
        <w:tc>
          <w:tcPr>
            <w:tcW w:w="2608" w:type="dxa"/>
            <w:gridSpan w:val="2"/>
            <w:vAlign w:val="center"/>
          </w:tcPr>
          <w:p>
            <w:pPr>
              <w:pStyle w:val="12"/>
              <w:rPr>
                <w:highlight w:val="none"/>
              </w:rPr>
            </w:pPr>
            <w:r>
              <w:rPr>
                <w:highlight w:val="none"/>
              </w:rPr>
              <w:t>3月底</w:t>
            </w:r>
          </w:p>
        </w:tc>
        <w:tc>
          <w:tcPr>
            <w:tcW w:w="1587" w:type="dxa"/>
            <w:vAlign w:val="center"/>
          </w:tcPr>
          <w:p>
            <w:pPr>
              <w:pStyle w:val="12"/>
              <w:rPr>
                <w:highlight w:val="none"/>
              </w:rPr>
            </w:pPr>
            <w:r>
              <w:rPr>
                <w:highlight w:val="none"/>
              </w:rPr>
              <w:t>6月底</w:t>
            </w:r>
          </w:p>
        </w:tc>
        <w:tc>
          <w:tcPr>
            <w:tcW w:w="1304" w:type="dxa"/>
            <w:vAlign w:val="center"/>
          </w:tcPr>
          <w:p>
            <w:pPr>
              <w:pStyle w:val="12"/>
              <w:rPr>
                <w:highlight w:val="none"/>
              </w:rPr>
            </w:pPr>
            <w:r>
              <w:rPr>
                <w:highlight w:val="none"/>
              </w:rPr>
              <w:t>10月底</w:t>
            </w:r>
          </w:p>
        </w:tc>
        <w:tc>
          <w:tcPr>
            <w:tcW w:w="3119" w:type="dxa"/>
            <w:gridSpan w:val="2"/>
            <w:vAlign w:val="center"/>
          </w:tcPr>
          <w:p>
            <w:pPr>
              <w:pStyle w:val="12"/>
              <w:rPr>
                <w:highlight w:val="none"/>
              </w:rPr>
            </w:pPr>
            <w:r>
              <w:rPr>
                <w:highlight w:val="none"/>
              </w:rPr>
              <w:t>12月底</w:t>
            </w:r>
          </w:p>
        </w:tc>
      </w:tr>
      <w:tr>
        <w:trPr>
          <w:trHeight w:val="369" w:hRule="atLeast"/>
          <w:jc w:val="center"/>
        </w:trPr>
        <w:tc>
          <w:tcPr>
            <w:tcW w:w="1276" w:type="dxa"/>
            <w:vMerge w:val="continue"/>
            <w:vAlign w:val="top"/>
          </w:tcPr>
          <w:p>
            <w:pPr>
              <w:rPr>
                <w:highlight w:val="none"/>
              </w:rPr>
            </w:pPr>
          </w:p>
        </w:tc>
        <w:tc>
          <w:tcPr>
            <w:tcW w:w="2608" w:type="dxa"/>
            <w:gridSpan w:val="2"/>
            <w:vAlign w:val="center"/>
          </w:tcPr>
          <w:p>
            <w:pPr>
              <w:pStyle w:val="13"/>
              <w:rPr>
                <w:highlight w:val="none"/>
              </w:rPr>
            </w:pPr>
            <w:r>
              <w:rPr>
                <w:highlight w:val="none"/>
              </w:rPr>
              <w:t xml:space="preserve"> </w:t>
            </w:r>
          </w:p>
        </w:tc>
        <w:tc>
          <w:tcPr>
            <w:tcW w:w="1587" w:type="dxa"/>
            <w:vAlign w:val="center"/>
          </w:tcPr>
          <w:p>
            <w:pPr>
              <w:pStyle w:val="13"/>
              <w:rPr>
                <w:highlight w:val="none"/>
                <w:lang w:eastAsia="zh-CN"/>
              </w:rPr>
            </w:pPr>
            <w:r>
              <w:rPr>
                <w:rFonts w:hint="eastAsia"/>
                <w:highlight w:val="none"/>
                <w:lang w:eastAsia="zh-CN"/>
              </w:rPr>
              <w:t>41</w:t>
            </w:r>
          </w:p>
        </w:tc>
        <w:tc>
          <w:tcPr>
            <w:tcW w:w="1304" w:type="dxa"/>
            <w:vAlign w:val="center"/>
          </w:tcPr>
          <w:p>
            <w:pPr>
              <w:pStyle w:val="13"/>
              <w:rPr>
                <w:highlight w:val="none"/>
                <w:lang w:eastAsia="zh-CN"/>
              </w:rPr>
            </w:pPr>
            <w:r>
              <w:rPr>
                <w:rFonts w:hint="eastAsia"/>
                <w:highlight w:val="none"/>
                <w:lang w:eastAsia="zh-CN"/>
              </w:rPr>
              <w:t>58</w:t>
            </w:r>
          </w:p>
        </w:tc>
        <w:tc>
          <w:tcPr>
            <w:tcW w:w="3119" w:type="dxa"/>
            <w:gridSpan w:val="2"/>
            <w:vAlign w:val="center"/>
          </w:tcPr>
          <w:p>
            <w:pPr>
              <w:pStyle w:val="13"/>
              <w:rPr>
                <w:highlight w:val="none"/>
                <w:lang w:eastAsia="zh-CN"/>
              </w:rPr>
            </w:pPr>
            <w:r>
              <w:rPr>
                <w:rFonts w:hint="eastAsia"/>
                <w:highlight w:val="none"/>
                <w:lang w:eastAsia="zh-CN"/>
              </w:rPr>
              <w:t>100</w:t>
            </w:r>
          </w:p>
        </w:tc>
      </w:tr>
      <w:tr>
        <w:trPr>
          <w:trHeight w:val="369" w:hRule="atLeast"/>
          <w:jc w:val="center"/>
        </w:trPr>
        <w:tc>
          <w:tcPr>
            <w:tcW w:w="1276" w:type="dxa"/>
            <w:vAlign w:val="center"/>
          </w:tcPr>
          <w:p>
            <w:pPr>
              <w:pStyle w:val="12"/>
              <w:rPr>
                <w:highlight w:val="none"/>
              </w:rPr>
            </w:pPr>
            <w:r>
              <w:rPr>
                <w:highlight w:val="none"/>
              </w:rPr>
              <w:t>绩效目标</w:t>
            </w:r>
          </w:p>
        </w:tc>
        <w:tc>
          <w:tcPr>
            <w:tcW w:w="8618" w:type="dxa"/>
            <w:gridSpan w:val="6"/>
            <w:vAlign w:val="center"/>
          </w:tcPr>
          <w:p>
            <w:pPr>
              <w:pStyle w:val="11"/>
              <w:rPr>
                <w:highlight w:val="none"/>
              </w:rPr>
            </w:pPr>
            <w:r>
              <w:rPr>
                <w:highlight w:val="none"/>
              </w:rPr>
              <w:t>1.对千里堤堤防进行加固，保护堤防安全，防御水流对主槽或堤脚的冲刷，使堤防达到100年一遇防洪标准</w:t>
            </w:r>
          </w:p>
          <w:p>
            <w:pPr>
              <w:pStyle w:val="11"/>
              <w:rPr>
                <w:highlight w:val="none"/>
              </w:rPr>
            </w:pPr>
            <w:r>
              <w:rPr>
                <w:highlight w:val="none"/>
              </w:rPr>
              <w:t>2.建设监测和信息化系统，初步探索数字孪生流域建设，提高河道现代化数字化管理能力</w:t>
            </w:r>
          </w:p>
        </w:tc>
      </w:tr>
    </w:tbl>
    <w:p>
      <w:pPr>
        <w:spacing w:line="2" w:lineRule="exact"/>
        <w:jc w:val="center"/>
        <w:rPr>
          <w:highlight w:val="none"/>
        </w:rPr>
      </w:pPr>
      <w:r>
        <w:rPr>
          <w:rFonts w:ascii="方正书宋_GBK" w:hAnsi="方正书宋_GBK" w:eastAsia="方正书宋_GBK" w:cs="方正书宋_GBK"/>
          <w:color w:val="000000"/>
          <w:highlight w:val="none"/>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rPr>
          <w:trHeight w:val="397" w:hRule="atLeast"/>
          <w:tblHeader/>
          <w:jc w:val="center"/>
        </w:trPr>
        <w:tc>
          <w:tcPr>
            <w:tcW w:w="1276" w:type="dxa"/>
            <w:vAlign w:val="center"/>
          </w:tcPr>
          <w:p>
            <w:pPr>
              <w:pStyle w:val="12"/>
              <w:rPr>
                <w:highlight w:val="none"/>
              </w:rPr>
            </w:pPr>
            <w:r>
              <w:rPr>
                <w:highlight w:val="none"/>
              </w:rPr>
              <w:t>一级指标</w:t>
            </w:r>
          </w:p>
        </w:tc>
        <w:tc>
          <w:tcPr>
            <w:tcW w:w="1276" w:type="dxa"/>
            <w:vAlign w:val="center"/>
          </w:tcPr>
          <w:p>
            <w:pPr>
              <w:pStyle w:val="12"/>
              <w:rPr>
                <w:highlight w:val="none"/>
              </w:rPr>
            </w:pPr>
            <w:r>
              <w:rPr>
                <w:highlight w:val="none"/>
              </w:rPr>
              <w:t>二级指标</w:t>
            </w:r>
          </w:p>
        </w:tc>
        <w:tc>
          <w:tcPr>
            <w:tcW w:w="1332" w:type="dxa"/>
            <w:vAlign w:val="center"/>
          </w:tcPr>
          <w:p>
            <w:pPr>
              <w:pStyle w:val="12"/>
              <w:rPr>
                <w:highlight w:val="none"/>
              </w:rPr>
            </w:pPr>
            <w:r>
              <w:rPr>
                <w:highlight w:val="none"/>
              </w:rPr>
              <w:t>三级指标</w:t>
            </w:r>
          </w:p>
        </w:tc>
        <w:tc>
          <w:tcPr>
            <w:tcW w:w="2891" w:type="dxa"/>
            <w:vAlign w:val="center"/>
          </w:tcPr>
          <w:p>
            <w:pPr>
              <w:pStyle w:val="12"/>
              <w:rPr>
                <w:highlight w:val="none"/>
              </w:rPr>
            </w:pPr>
            <w:r>
              <w:rPr>
                <w:highlight w:val="none"/>
              </w:rPr>
              <w:t>绩效指标描述</w:t>
            </w:r>
          </w:p>
        </w:tc>
        <w:tc>
          <w:tcPr>
            <w:tcW w:w="1276" w:type="dxa"/>
            <w:vAlign w:val="center"/>
          </w:tcPr>
          <w:p>
            <w:pPr>
              <w:pStyle w:val="12"/>
              <w:rPr>
                <w:highlight w:val="none"/>
              </w:rPr>
            </w:pPr>
            <w:r>
              <w:rPr>
                <w:highlight w:val="none"/>
              </w:rPr>
              <w:t>指标值</w:t>
            </w:r>
          </w:p>
        </w:tc>
        <w:tc>
          <w:tcPr>
            <w:tcW w:w="1843" w:type="dxa"/>
            <w:vAlign w:val="center"/>
          </w:tcPr>
          <w:p>
            <w:pPr>
              <w:pStyle w:val="12"/>
              <w:rPr>
                <w:highlight w:val="none"/>
              </w:rPr>
            </w:pPr>
            <w:r>
              <w:rPr>
                <w:highlight w:val="none"/>
              </w:rPr>
              <w:t>指标值确定依据</w:t>
            </w:r>
          </w:p>
        </w:tc>
      </w:tr>
      <w:tr>
        <w:trPr>
          <w:trHeight w:val="369" w:hRule="atLeast"/>
          <w:jc w:val="center"/>
        </w:trPr>
        <w:tc>
          <w:tcPr>
            <w:tcW w:w="1276" w:type="dxa"/>
            <w:vMerge w:val="restart"/>
            <w:vAlign w:val="center"/>
          </w:tcPr>
          <w:p>
            <w:pPr>
              <w:pStyle w:val="13"/>
              <w:rPr>
                <w:highlight w:val="none"/>
              </w:rPr>
            </w:pPr>
            <w:r>
              <w:rPr>
                <w:highlight w:val="none"/>
              </w:rPr>
              <w:t>产出指标</w:t>
            </w:r>
          </w:p>
        </w:tc>
        <w:tc>
          <w:tcPr>
            <w:tcW w:w="1276" w:type="dxa"/>
            <w:vAlign w:val="center"/>
          </w:tcPr>
          <w:p>
            <w:pPr>
              <w:pStyle w:val="11"/>
              <w:rPr>
                <w:highlight w:val="none"/>
              </w:rPr>
            </w:pPr>
            <w:r>
              <w:rPr>
                <w:highlight w:val="none"/>
              </w:rPr>
              <w:t>数量指标</w:t>
            </w:r>
          </w:p>
        </w:tc>
        <w:tc>
          <w:tcPr>
            <w:tcW w:w="1332" w:type="dxa"/>
            <w:vAlign w:val="center"/>
          </w:tcPr>
          <w:p>
            <w:pPr>
              <w:pStyle w:val="11"/>
              <w:rPr>
                <w:highlight w:val="none"/>
              </w:rPr>
            </w:pPr>
            <w:r>
              <w:rPr>
                <w:highlight w:val="none"/>
              </w:rPr>
              <w:t>千里堤加固工程（高阳段）治理长度</w:t>
            </w:r>
          </w:p>
          <w:p>
            <w:pPr>
              <w:pStyle w:val="11"/>
              <w:rPr>
                <w:highlight w:val="none"/>
              </w:rPr>
            </w:pPr>
          </w:p>
        </w:tc>
        <w:tc>
          <w:tcPr>
            <w:tcW w:w="2891" w:type="dxa"/>
            <w:vAlign w:val="center"/>
          </w:tcPr>
          <w:p>
            <w:pPr>
              <w:pStyle w:val="11"/>
              <w:rPr>
                <w:highlight w:val="none"/>
              </w:rPr>
            </w:pPr>
            <w:r>
              <w:rPr>
                <w:highlight w:val="none"/>
              </w:rPr>
              <w:t>千里堤加固工程（高阳段）治理长度</w:t>
            </w:r>
          </w:p>
          <w:p>
            <w:pPr>
              <w:pStyle w:val="11"/>
              <w:rPr>
                <w:highlight w:val="none"/>
              </w:rPr>
            </w:pPr>
          </w:p>
        </w:tc>
        <w:tc>
          <w:tcPr>
            <w:tcW w:w="1276" w:type="dxa"/>
            <w:vAlign w:val="center"/>
          </w:tcPr>
          <w:p>
            <w:pPr>
              <w:pStyle w:val="11"/>
              <w:rPr>
                <w:highlight w:val="none"/>
              </w:rPr>
            </w:pPr>
            <w:r>
              <w:rPr>
                <w:highlight w:val="none"/>
              </w:rPr>
              <w:t>18.26千米</w:t>
            </w:r>
          </w:p>
        </w:tc>
        <w:tc>
          <w:tcPr>
            <w:tcW w:w="1843" w:type="dxa"/>
            <w:vAlign w:val="center"/>
          </w:tcPr>
          <w:p>
            <w:pPr>
              <w:pStyle w:val="11"/>
              <w:rPr>
                <w:highlight w:val="none"/>
              </w:rPr>
            </w:pPr>
            <w:r>
              <w:rPr>
                <w:highlight w:val="none"/>
              </w:rPr>
              <w:t>千里堤加固工程（高阳段）可行性研究报告</w:t>
            </w:r>
          </w:p>
        </w:tc>
      </w:tr>
      <w:tr>
        <w:trPr>
          <w:trHeight w:val="369" w:hRule="atLeast"/>
          <w:jc w:val="center"/>
        </w:trPr>
        <w:tc>
          <w:tcPr>
            <w:tcW w:w="1276" w:type="dxa"/>
            <w:vMerge w:val="continue"/>
            <w:vAlign w:val="center"/>
          </w:tcPr>
          <w:p>
            <w:pPr>
              <w:rPr>
                <w:highlight w:val="none"/>
              </w:rPr>
            </w:pPr>
          </w:p>
        </w:tc>
        <w:tc>
          <w:tcPr>
            <w:tcW w:w="1276" w:type="dxa"/>
            <w:vAlign w:val="center"/>
          </w:tcPr>
          <w:p>
            <w:pPr>
              <w:pStyle w:val="11"/>
              <w:rPr>
                <w:highlight w:val="none"/>
              </w:rPr>
            </w:pPr>
            <w:r>
              <w:rPr>
                <w:highlight w:val="none"/>
              </w:rPr>
              <w:t>质量指标</w:t>
            </w:r>
          </w:p>
        </w:tc>
        <w:tc>
          <w:tcPr>
            <w:tcW w:w="1332" w:type="dxa"/>
            <w:vAlign w:val="center"/>
          </w:tcPr>
          <w:p>
            <w:pPr>
              <w:pStyle w:val="11"/>
              <w:rPr>
                <w:highlight w:val="none"/>
              </w:rPr>
            </w:pPr>
            <w:r>
              <w:rPr>
                <w:highlight w:val="none"/>
              </w:rPr>
              <w:t>工程质量合格率</w:t>
            </w:r>
          </w:p>
        </w:tc>
        <w:tc>
          <w:tcPr>
            <w:tcW w:w="2891" w:type="dxa"/>
            <w:vAlign w:val="center"/>
          </w:tcPr>
          <w:p>
            <w:pPr>
              <w:pStyle w:val="11"/>
              <w:rPr>
                <w:highlight w:val="none"/>
              </w:rPr>
            </w:pPr>
            <w:r>
              <w:rPr>
                <w:highlight w:val="none"/>
              </w:rPr>
              <w:t>工程质量合格率</w:t>
            </w:r>
          </w:p>
        </w:tc>
        <w:tc>
          <w:tcPr>
            <w:tcW w:w="1276" w:type="dxa"/>
            <w:vAlign w:val="center"/>
          </w:tcPr>
          <w:p>
            <w:pPr>
              <w:pStyle w:val="11"/>
              <w:rPr>
                <w:highlight w:val="none"/>
              </w:rPr>
            </w:pPr>
            <w:r>
              <w:rPr>
                <w:highlight w:val="none"/>
              </w:rPr>
              <w:t>≥95%</w:t>
            </w:r>
          </w:p>
        </w:tc>
        <w:tc>
          <w:tcPr>
            <w:tcW w:w="1843" w:type="dxa"/>
            <w:vAlign w:val="center"/>
          </w:tcPr>
          <w:p>
            <w:pPr>
              <w:pStyle w:val="11"/>
              <w:rPr>
                <w:highlight w:val="none"/>
              </w:rPr>
            </w:pPr>
            <w:r>
              <w:rPr>
                <w:highlight w:val="none"/>
              </w:rPr>
              <w:t>千里堤加固工程（高阳段）可行性研究报告</w:t>
            </w:r>
          </w:p>
        </w:tc>
      </w:tr>
      <w:tr>
        <w:trPr>
          <w:trHeight w:val="369" w:hRule="atLeast"/>
          <w:jc w:val="center"/>
        </w:trPr>
        <w:tc>
          <w:tcPr>
            <w:tcW w:w="1276" w:type="dxa"/>
            <w:vMerge w:val="continue"/>
            <w:vAlign w:val="center"/>
          </w:tcPr>
          <w:p>
            <w:pPr>
              <w:rPr>
                <w:highlight w:val="none"/>
              </w:rPr>
            </w:pPr>
          </w:p>
        </w:tc>
        <w:tc>
          <w:tcPr>
            <w:tcW w:w="1276" w:type="dxa"/>
            <w:vAlign w:val="center"/>
          </w:tcPr>
          <w:p>
            <w:pPr>
              <w:pStyle w:val="11"/>
              <w:rPr>
                <w:highlight w:val="none"/>
              </w:rPr>
            </w:pPr>
            <w:r>
              <w:rPr>
                <w:highlight w:val="none"/>
              </w:rPr>
              <w:t>时效指标</w:t>
            </w:r>
          </w:p>
        </w:tc>
        <w:tc>
          <w:tcPr>
            <w:tcW w:w="1332" w:type="dxa"/>
            <w:vAlign w:val="center"/>
          </w:tcPr>
          <w:p>
            <w:pPr>
              <w:pStyle w:val="11"/>
              <w:rPr>
                <w:highlight w:val="none"/>
              </w:rPr>
            </w:pPr>
            <w:r>
              <w:rPr>
                <w:highlight w:val="none"/>
              </w:rPr>
              <w:t>项目按时完成率</w:t>
            </w:r>
          </w:p>
        </w:tc>
        <w:tc>
          <w:tcPr>
            <w:tcW w:w="2891" w:type="dxa"/>
            <w:vAlign w:val="center"/>
          </w:tcPr>
          <w:p>
            <w:pPr>
              <w:pStyle w:val="11"/>
              <w:rPr>
                <w:highlight w:val="none"/>
              </w:rPr>
            </w:pPr>
            <w:r>
              <w:rPr>
                <w:highlight w:val="none"/>
              </w:rPr>
              <w:t>项目按时完成率</w:t>
            </w:r>
          </w:p>
        </w:tc>
        <w:tc>
          <w:tcPr>
            <w:tcW w:w="1276" w:type="dxa"/>
            <w:vAlign w:val="center"/>
          </w:tcPr>
          <w:p>
            <w:pPr>
              <w:pStyle w:val="11"/>
              <w:rPr>
                <w:highlight w:val="none"/>
              </w:rPr>
            </w:pPr>
            <w:r>
              <w:rPr>
                <w:highlight w:val="none"/>
              </w:rPr>
              <w:t>≥95%</w:t>
            </w:r>
          </w:p>
        </w:tc>
        <w:tc>
          <w:tcPr>
            <w:tcW w:w="1843" w:type="dxa"/>
            <w:vAlign w:val="center"/>
          </w:tcPr>
          <w:p>
            <w:pPr>
              <w:pStyle w:val="11"/>
              <w:rPr>
                <w:highlight w:val="none"/>
              </w:rPr>
            </w:pPr>
            <w:r>
              <w:rPr>
                <w:highlight w:val="none"/>
              </w:rPr>
              <w:t>千里堤加固工程（高阳段）可行性研究报告</w:t>
            </w:r>
          </w:p>
        </w:tc>
      </w:tr>
      <w:tr>
        <w:trPr>
          <w:trHeight w:val="369" w:hRule="atLeast"/>
          <w:jc w:val="center"/>
        </w:trPr>
        <w:tc>
          <w:tcPr>
            <w:tcW w:w="1276" w:type="dxa"/>
            <w:vMerge w:val="continue"/>
            <w:vAlign w:val="center"/>
          </w:tcPr>
          <w:p>
            <w:pPr>
              <w:rPr>
                <w:highlight w:val="none"/>
              </w:rPr>
            </w:pPr>
          </w:p>
        </w:tc>
        <w:tc>
          <w:tcPr>
            <w:tcW w:w="1276" w:type="dxa"/>
            <w:vAlign w:val="center"/>
          </w:tcPr>
          <w:p>
            <w:pPr>
              <w:pStyle w:val="11"/>
              <w:rPr>
                <w:highlight w:val="none"/>
              </w:rPr>
            </w:pPr>
            <w:r>
              <w:rPr>
                <w:highlight w:val="none"/>
              </w:rPr>
              <w:t>成本指标</w:t>
            </w:r>
          </w:p>
        </w:tc>
        <w:tc>
          <w:tcPr>
            <w:tcW w:w="1332" w:type="dxa"/>
            <w:vAlign w:val="center"/>
          </w:tcPr>
          <w:p>
            <w:pPr>
              <w:pStyle w:val="11"/>
              <w:rPr>
                <w:highlight w:val="none"/>
              </w:rPr>
            </w:pPr>
            <w:r>
              <w:rPr>
                <w:highlight w:val="none"/>
              </w:rPr>
              <w:t>项目成本控制金额</w:t>
            </w:r>
          </w:p>
        </w:tc>
        <w:tc>
          <w:tcPr>
            <w:tcW w:w="2891" w:type="dxa"/>
            <w:vAlign w:val="center"/>
          </w:tcPr>
          <w:p>
            <w:pPr>
              <w:pStyle w:val="11"/>
              <w:rPr>
                <w:highlight w:val="none"/>
              </w:rPr>
            </w:pPr>
            <w:r>
              <w:rPr>
                <w:highlight w:val="none"/>
              </w:rPr>
              <w:t>项目成本控制金额</w:t>
            </w:r>
          </w:p>
        </w:tc>
        <w:tc>
          <w:tcPr>
            <w:tcW w:w="1276" w:type="dxa"/>
            <w:vAlign w:val="center"/>
          </w:tcPr>
          <w:p>
            <w:pPr>
              <w:pStyle w:val="11"/>
              <w:rPr>
                <w:highlight w:val="none"/>
              </w:rPr>
            </w:pPr>
            <w:r>
              <w:rPr>
                <w:highlight w:val="none"/>
              </w:rPr>
              <w:t>≤4000万元</w:t>
            </w:r>
          </w:p>
        </w:tc>
        <w:tc>
          <w:tcPr>
            <w:tcW w:w="1843" w:type="dxa"/>
            <w:vAlign w:val="center"/>
          </w:tcPr>
          <w:p>
            <w:pPr>
              <w:pStyle w:val="11"/>
              <w:rPr>
                <w:highlight w:val="none"/>
              </w:rPr>
            </w:pPr>
            <w:r>
              <w:rPr>
                <w:highlight w:val="none"/>
              </w:rPr>
              <w:t>千里堤加固工程（高阳段）可行性研究报告</w:t>
            </w:r>
          </w:p>
        </w:tc>
      </w:tr>
      <w:tr>
        <w:trPr>
          <w:trHeight w:val="369" w:hRule="atLeast"/>
          <w:jc w:val="center"/>
        </w:trPr>
        <w:tc>
          <w:tcPr>
            <w:tcW w:w="1276" w:type="dxa"/>
            <w:vAlign w:val="center"/>
          </w:tcPr>
          <w:p>
            <w:pPr>
              <w:pStyle w:val="13"/>
              <w:rPr>
                <w:highlight w:val="none"/>
              </w:rPr>
            </w:pPr>
            <w:r>
              <w:rPr>
                <w:highlight w:val="none"/>
              </w:rPr>
              <w:t>效益指标</w:t>
            </w:r>
          </w:p>
        </w:tc>
        <w:tc>
          <w:tcPr>
            <w:tcW w:w="1276" w:type="dxa"/>
            <w:vAlign w:val="center"/>
          </w:tcPr>
          <w:p>
            <w:pPr>
              <w:pStyle w:val="11"/>
              <w:rPr>
                <w:highlight w:val="none"/>
              </w:rPr>
            </w:pPr>
            <w:r>
              <w:rPr>
                <w:highlight w:val="none"/>
              </w:rPr>
              <w:t>社会效益指标</w:t>
            </w:r>
          </w:p>
        </w:tc>
        <w:tc>
          <w:tcPr>
            <w:tcW w:w="1332" w:type="dxa"/>
            <w:vAlign w:val="center"/>
          </w:tcPr>
          <w:p>
            <w:pPr>
              <w:pStyle w:val="11"/>
              <w:rPr>
                <w:highlight w:val="none"/>
              </w:rPr>
            </w:pPr>
            <w:r>
              <w:rPr>
                <w:highlight w:val="none"/>
              </w:rPr>
              <w:t>通过此项目，千里堤高阳段防洪标准达到100年一遇，保障沿岸群众生命财产安全</w:t>
            </w:r>
          </w:p>
        </w:tc>
        <w:tc>
          <w:tcPr>
            <w:tcW w:w="2891" w:type="dxa"/>
            <w:vAlign w:val="center"/>
          </w:tcPr>
          <w:p>
            <w:pPr>
              <w:pStyle w:val="11"/>
              <w:rPr>
                <w:highlight w:val="none"/>
              </w:rPr>
            </w:pPr>
            <w:r>
              <w:rPr>
                <w:highlight w:val="none"/>
              </w:rPr>
              <w:t>通过此项目，千里堤高阳段防洪标准达到100年一遇，保障沿岸群众生命财产安全</w:t>
            </w:r>
          </w:p>
        </w:tc>
        <w:tc>
          <w:tcPr>
            <w:tcW w:w="1276" w:type="dxa"/>
            <w:vAlign w:val="center"/>
          </w:tcPr>
          <w:p>
            <w:pPr>
              <w:pStyle w:val="11"/>
              <w:rPr>
                <w:highlight w:val="none"/>
              </w:rPr>
            </w:pPr>
            <w:r>
              <w:rPr>
                <w:highlight w:val="none"/>
              </w:rPr>
              <w:t>能够达到优秀</w:t>
            </w:r>
          </w:p>
        </w:tc>
        <w:tc>
          <w:tcPr>
            <w:tcW w:w="1843" w:type="dxa"/>
            <w:vAlign w:val="center"/>
          </w:tcPr>
          <w:p>
            <w:pPr>
              <w:pStyle w:val="11"/>
              <w:rPr>
                <w:highlight w:val="none"/>
              </w:rPr>
            </w:pPr>
            <w:r>
              <w:rPr>
                <w:highlight w:val="none"/>
              </w:rPr>
              <w:t>千里堤加固工程（高阳段）可行性研究报告</w:t>
            </w:r>
          </w:p>
        </w:tc>
      </w:tr>
    </w:tbl>
    <w:p>
      <w:pPr>
        <w:rPr>
          <w:highlight w:val="yellow"/>
        </w:rPr>
        <w:sectPr>
          <w:pgSz w:w="11900" w:h="16840"/>
          <w:pgMar w:top="1984" w:right="1304" w:bottom="1134" w:left="1304" w:header="720" w:footer="720" w:gutter="0"/>
          <w:cols w:space="720" w:num="1"/>
        </w:sectPr>
      </w:pPr>
    </w:p>
    <w:p>
      <w:pPr>
        <w:spacing w:line="560" w:lineRule="exact"/>
        <w:jc w:val="lef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六、政府采购预算安排情况</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年县本级政府采购预算项目资金</w:t>
      </w:r>
      <w:r>
        <w:rPr>
          <w:rFonts w:hint="eastAsia" w:ascii="仿宋_GB2312" w:eastAsia="仿宋_GB2312"/>
          <w:sz w:val="32"/>
          <w:szCs w:val="32"/>
          <w:highlight w:val="none"/>
        </w:rPr>
        <w:t>安排</w:t>
      </w:r>
      <w:r>
        <w:rPr>
          <w:rFonts w:hint="eastAsia" w:ascii="仿宋_GB2312" w:eastAsia="仿宋_GB2312"/>
          <w:sz w:val="32"/>
          <w:szCs w:val="32"/>
          <w:highlight w:val="none"/>
          <w:lang w:val="en-US" w:eastAsia="zh-CN"/>
        </w:rPr>
        <w:t>4310</w:t>
      </w:r>
      <w:r>
        <w:rPr>
          <w:rFonts w:hint="eastAsia" w:ascii="仿宋_GB2312" w:eastAsia="仿宋_GB2312"/>
          <w:sz w:val="32"/>
          <w:szCs w:val="32"/>
          <w:highlight w:val="none"/>
        </w:rPr>
        <w:t>万元，按采购类别分：货物类</w:t>
      </w:r>
      <w:r>
        <w:rPr>
          <w:rFonts w:hint="eastAsia" w:ascii="仿宋_GB2312" w:eastAsia="仿宋_GB2312"/>
          <w:sz w:val="32"/>
          <w:szCs w:val="32"/>
          <w:highlight w:val="none"/>
          <w:lang w:val="en-US" w:eastAsia="zh-CN"/>
        </w:rPr>
        <w:t>873</w:t>
      </w:r>
      <w:r>
        <w:rPr>
          <w:rFonts w:hint="eastAsia" w:ascii="仿宋_GB2312" w:eastAsia="仿宋_GB2312"/>
          <w:sz w:val="32"/>
          <w:szCs w:val="32"/>
          <w:highlight w:val="none"/>
        </w:rPr>
        <w:t>万元、工程类</w:t>
      </w:r>
      <w:r>
        <w:rPr>
          <w:rFonts w:hint="eastAsia" w:ascii="仿宋_GB2312" w:eastAsia="仿宋_GB2312"/>
          <w:sz w:val="32"/>
          <w:szCs w:val="32"/>
          <w:highlight w:val="none"/>
          <w:lang w:val="en-US" w:eastAsia="zh-CN"/>
        </w:rPr>
        <w:t>898</w:t>
      </w:r>
      <w:r>
        <w:rPr>
          <w:rFonts w:hint="eastAsia" w:ascii="仿宋_GB2312" w:eastAsia="仿宋_GB2312"/>
          <w:sz w:val="32"/>
          <w:szCs w:val="32"/>
          <w:highlight w:val="none"/>
        </w:rPr>
        <w:t>万元、服务类</w:t>
      </w:r>
      <w:r>
        <w:rPr>
          <w:rFonts w:hint="eastAsia" w:ascii="仿宋_GB2312" w:eastAsia="仿宋_GB2312"/>
          <w:sz w:val="32"/>
          <w:szCs w:val="32"/>
          <w:highlight w:val="none"/>
          <w:lang w:val="en-US" w:eastAsia="zh-CN"/>
        </w:rPr>
        <w:t>2539</w:t>
      </w:r>
      <w:r>
        <w:rPr>
          <w:rFonts w:hint="eastAsia" w:ascii="仿宋_GB2312" w:eastAsia="仿宋_GB2312"/>
          <w:sz w:val="32"/>
          <w:szCs w:val="32"/>
          <w:highlight w:val="none"/>
        </w:rPr>
        <w:t>万元；按资金来源性质分：一般公共预算拨款安排</w:t>
      </w:r>
      <w:r>
        <w:rPr>
          <w:rFonts w:hint="eastAsia" w:ascii="仿宋_GB2312" w:eastAsia="仿宋_GB2312"/>
          <w:sz w:val="32"/>
          <w:szCs w:val="32"/>
          <w:highlight w:val="none"/>
          <w:lang w:val="en-US" w:eastAsia="zh-CN"/>
        </w:rPr>
        <w:t>3810</w:t>
      </w:r>
      <w:r>
        <w:rPr>
          <w:rFonts w:hint="eastAsia" w:ascii="仿宋_GB2312" w:eastAsia="仿宋_GB2312"/>
          <w:sz w:val="32"/>
          <w:szCs w:val="32"/>
          <w:highlight w:val="none"/>
        </w:rPr>
        <w:t>万元、政府性基金预算拨款</w:t>
      </w:r>
      <w:r>
        <w:rPr>
          <w:rFonts w:hint="eastAsia" w:ascii="仿宋_GB2312" w:eastAsia="仿宋_GB2312"/>
          <w:sz w:val="32"/>
          <w:szCs w:val="32"/>
          <w:highlight w:val="none"/>
          <w:lang w:val="en-US" w:eastAsia="zh-CN"/>
        </w:rPr>
        <w:t>500</w:t>
      </w:r>
      <w:r>
        <w:rPr>
          <w:rFonts w:hint="eastAsia" w:ascii="仿宋_GB2312" w:eastAsia="仿宋_GB2312"/>
          <w:sz w:val="32"/>
          <w:szCs w:val="32"/>
          <w:highlight w:val="none"/>
        </w:rPr>
        <w:t>万元。</w:t>
      </w:r>
    </w:p>
    <w:sectPr>
      <w:footerReference r:id="rId4" w:type="default"/>
      <w:pgSz w:w="11906" w:h="16838"/>
      <w:pgMar w:top="2098" w:right="1474" w:bottom="1985" w:left="158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FZKai-Z03">
    <w:altName w:val="宋体"/>
    <w:panose1 w:val="00000000000000000000"/>
    <w:charset w:val="86"/>
    <w:family w:val="auto"/>
    <w:pitch w:val="default"/>
    <w:sig w:usb0="00000000" w:usb1="00000000" w:usb2="00000010" w:usb3="00000000" w:csb0="00040000" w:csb1="00000000"/>
  </w:font>
  <w:font w:name="方正书宋_GBK">
    <w:panose1 w:val="03000509000000000000"/>
    <w:charset w:val="86"/>
    <w:family w:val="auto"/>
    <w:pitch w:val="default"/>
    <w:sig w:usb0="00000000" w:usb1="00000000" w:usb2="00000000" w:usb3="00000000" w:csb0="00000000" w:csb1="00000000"/>
  </w:font>
  <w:font w:name="FZXiaoBiaoSong-B05">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0" w:usb1="00000000" w:usb2="00000000" w:usb3="00000000" w:csb0="00000000" w:csb1="00000000"/>
  </w:font>
  <w:font w:name="Arial Unicode MS">
    <w:altName w:val="宋体"/>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9</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paragraph" w:styleId="2">
    <w:name w:val="Balloon Text"/>
    <w:basedOn w:val="1"/>
    <w:link w:val="16"/>
    <w:semiHidden/>
    <w:unhideWhenUsed/>
    <w:uiPriority w:val="99"/>
    <w:rPr>
      <w:sz w:val="18"/>
      <w:szCs w:val="18"/>
    </w:rPr>
  </w:style>
  <w:style w:type="paragraph" w:styleId="3">
    <w:name w:val="footer"/>
    <w:basedOn w:val="1"/>
    <w:link w:val="15"/>
    <w:unhideWhenUsed/>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5">
    <w:name w:val="toc 2"/>
    <w:basedOn w:val="1"/>
    <w:next w:val="1"/>
    <w:qFormat/>
    <w:uiPriority w:val="0"/>
    <w:pPr>
      <w:ind w:left="420" w:leftChars="200"/>
    </w:pPr>
    <w:rPr>
      <w:rFonts w:ascii="Calibri" w:hAnsi="Calibri" w:eastAsia="宋体" w:cs="黑体"/>
    </w:rPr>
  </w:style>
  <w:style w:type="character" w:styleId="7">
    <w:name w:val="Emphasis"/>
    <w:basedOn w:val="6"/>
    <w:qFormat/>
    <w:uiPriority w:val="20"/>
    <w:rPr>
      <w:i/>
      <w:iCs/>
    </w:rPr>
  </w:style>
  <w:style w:type="paragraph" w:customStyle="1" w:styleId="8">
    <w:name w:val="Default"/>
    <w:uiPriority w:val="0"/>
    <w:pPr>
      <w:widowControl w:val="0"/>
      <w:autoSpaceDE w:val="0"/>
      <w:autoSpaceDN w:val="0"/>
      <w:adjustRightInd w:val="0"/>
    </w:pPr>
    <w:rPr>
      <w:rFonts w:ascii="FZKai-Z03" w:hAnsi="Calibri" w:eastAsia="FZKai-Z03" w:cs="FZKai-Z03"/>
      <w:color w:val="000000"/>
      <w:kern w:val="0"/>
      <w:sz w:val="24"/>
      <w:szCs w:val="24"/>
      <w:lang w:val="en-US" w:eastAsia="zh-CN" w:bidi="ar-SA"/>
    </w:rPr>
  </w:style>
  <w:style w:type="paragraph" w:customStyle="1" w:styleId="9">
    <w:name w:val="单元格样式4"/>
    <w:basedOn w:val="1"/>
    <w:qFormat/>
    <w:uiPriority w:val="0"/>
    <w:pPr>
      <w:widowControl/>
      <w:jc w:val="right"/>
    </w:pPr>
    <w:rPr>
      <w:rFonts w:ascii="方正书宋_GBK" w:hAnsi="方正书宋_GBK" w:eastAsia="方正书宋_GBK" w:cs="方正书宋_GBK"/>
      <w:kern w:val="0"/>
    </w:rPr>
  </w:style>
  <w:style w:type="paragraph" w:customStyle="1" w:styleId="10">
    <w:name w:val="单元格样式5"/>
    <w:basedOn w:val="1"/>
    <w:qFormat/>
    <w:uiPriority w:val="0"/>
    <w:pPr>
      <w:widowControl/>
      <w:jc w:val="left"/>
    </w:pPr>
    <w:rPr>
      <w:rFonts w:ascii="方正书宋_GBK" w:hAnsi="方正书宋_GBK" w:eastAsia="方正书宋_GBK" w:cs="方正书宋_GBK"/>
      <w:b/>
      <w:kern w:val="0"/>
    </w:rPr>
  </w:style>
  <w:style w:type="paragraph" w:customStyle="1" w:styleId="11">
    <w:name w:val="单元格样式2"/>
    <w:basedOn w:val="1"/>
    <w:qFormat/>
    <w:uiPriority w:val="0"/>
    <w:pPr>
      <w:widowControl/>
      <w:jc w:val="left"/>
    </w:pPr>
    <w:rPr>
      <w:rFonts w:ascii="方正书宋_GBK" w:hAnsi="方正书宋_GBK" w:eastAsia="方正书宋_GBK" w:cs="方正书宋_GBK"/>
      <w:kern w:val="0"/>
    </w:rPr>
  </w:style>
  <w:style w:type="paragraph" w:customStyle="1" w:styleId="12">
    <w:name w:val="单元格样式1"/>
    <w:basedOn w:val="1"/>
    <w:qFormat/>
    <w:uiPriority w:val="0"/>
    <w:pPr>
      <w:widowControl/>
      <w:jc w:val="center"/>
    </w:pPr>
    <w:rPr>
      <w:rFonts w:ascii="方正书宋_GBK" w:hAnsi="方正书宋_GBK" w:eastAsia="方正书宋_GBK" w:cs="方正书宋_GBK"/>
      <w:b/>
      <w:kern w:val="0"/>
    </w:rPr>
  </w:style>
  <w:style w:type="paragraph" w:customStyle="1" w:styleId="13">
    <w:name w:val="单元格样式3"/>
    <w:basedOn w:val="1"/>
    <w:qFormat/>
    <w:uiPriority w:val="0"/>
    <w:pPr>
      <w:widowControl/>
      <w:jc w:val="center"/>
    </w:pPr>
    <w:rPr>
      <w:rFonts w:ascii="方正书宋_GBK" w:hAnsi="方正书宋_GBK" w:eastAsia="方正书宋_GBK" w:cs="方正书宋_GBK"/>
      <w:kern w:val="0"/>
    </w:rPr>
  </w:style>
  <w:style w:type="character" w:customStyle="1" w:styleId="14">
    <w:name w:val="页眉 Char Char"/>
    <w:basedOn w:val="6"/>
    <w:link w:val="4"/>
    <w:uiPriority w:val="99"/>
    <w:rPr>
      <w:sz w:val="18"/>
      <w:szCs w:val="18"/>
    </w:rPr>
  </w:style>
  <w:style w:type="character" w:customStyle="1" w:styleId="15">
    <w:name w:val="页脚 Char Char"/>
    <w:basedOn w:val="6"/>
    <w:link w:val="3"/>
    <w:uiPriority w:val="99"/>
    <w:rPr>
      <w:sz w:val="18"/>
      <w:szCs w:val="18"/>
    </w:rPr>
  </w:style>
  <w:style w:type="character" w:customStyle="1" w:styleId="16">
    <w:name w:val="批注框文本 Char Char"/>
    <w:basedOn w:val="6"/>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733</Words>
  <Characters>4183</Characters>
  <Lines>34</Lines>
  <Paragraphs>9</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2022-02-09T09:39:00Z</dcterms:created>
  <dc:creator>user</dc:creator>
  <cp:lastModifiedBy>Lenovo</cp:lastModifiedBy>
  <cp:lastPrinted>2022-03-07T06:28:00Z</cp:lastPrinted>
  <dcterms:modified xsi:type="dcterms:W3CDTF">2025-02-06T02:11:19Z</dcterms:modified>
  <dc:title>高阳县关于2025年预算公开有关事项的说明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