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default" w:ascii="宋体" w:hAnsi="宋体" w:cs="方正小标宋简体"/>
          <w:kern w:val="0"/>
          <w:sz w:val="36"/>
          <w:szCs w:val="36"/>
          <w:lang w:val="en-US" w:eastAsia="zh-CN"/>
        </w:rPr>
      </w:pPr>
      <w:r>
        <w:rPr>
          <w:rFonts w:hint="eastAsia" w:ascii="宋体" w:hAnsi="宋体" w:cs="方正小标宋简体"/>
          <w:kern w:val="0"/>
          <w:sz w:val="36"/>
          <w:szCs w:val="36"/>
          <w:lang w:val="en-US" w:eastAsia="zh-CN"/>
        </w:rPr>
        <w:t>高阳县退役军人事务局</w:t>
      </w:r>
    </w:p>
    <w:p>
      <w:pPr>
        <w:snapToGrid w:val="0"/>
        <w:spacing w:line="580" w:lineRule="exact"/>
        <w:jc w:val="center"/>
        <w:rPr>
          <w:rFonts w:ascii="宋体" w:hAnsi="宋体"/>
          <w:sz w:val="36"/>
          <w:szCs w:val="36"/>
        </w:rPr>
      </w:pPr>
      <w:r>
        <w:rPr>
          <w:rFonts w:hint="eastAsia" w:ascii="宋体" w:hAnsi="宋体" w:cs="方正小标宋简体"/>
          <w:kern w:val="0"/>
          <w:sz w:val="36"/>
          <w:szCs w:val="36"/>
          <w:lang w:val="en-US" w:eastAsia="zh-CN"/>
        </w:rPr>
        <w:t>县级</w:t>
      </w:r>
      <w:r>
        <w:rPr>
          <w:rFonts w:hint="eastAsia" w:ascii="宋体" w:hAnsi="宋体" w:cs="方正小标宋简体"/>
          <w:kern w:val="0"/>
          <w:sz w:val="36"/>
          <w:szCs w:val="36"/>
        </w:rPr>
        <w:t>预算</w:t>
      </w:r>
      <w:r>
        <w:rPr>
          <w:rFonts w:hint="eastAsia" w:ascii="宋体" w:hAnsi="宋体" w:cs="方正小标宋简体"/>
          <w:kern w:val="0"/>
          <w:sz w:val="36"/>
          <w:szCs w:val="36"/>
          <w:lang w:val="en-US" w:eastAsia="zh-CN"/>
        </w:rPr>
        <w:t>项目</w:t>
      </w:r>
      <w:r>
        <w:rPr>
          <w:rFonts w:hint="eastAsia" w:ascii="宋体" w:hAnsi="宋体" w:cs="方正小标宋简体"/>
          <w:sz w:val="36"/>
          <w:szCs w:val="36"/>
        </w:rPr>
        <w:t>绩效自评工作报告</w:t>
      </w:r>
    </w:p>
    <w:p>
      <w:pPr>
        <w:snapToGrid w:val="0"/>
        <w:spacing w:line="400" w:lineRule="exact"/>
        <w:ind w:firstLine="643" w:firstLineChars="200"/>
        <w:rPr>
          <w:rFonts w:ascii="仿宋" w:hAnsi="仿宋" w:eastAsia="仿宋"/>
          <w:b/>
          <w:bCs/>
          <w:sz w:val="32"/>
          <w:szCs w:val="32"/>
        </w:rPr>
      </w:pPr>
    </w:p>
    <w:p>
      <w:pPr>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一、绩效自评工作组织开展情况</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高阳县财政局《关于做好2023年度县级预算项目绩效自评工作的通知》（高财稽查〔2024〕1号）要求，退役军人事务局组织拥军优抚股、烈士褒扬股、移交安置股、退役军人服务中心、财务室和办公室等部门积极组织开展了预算项目绩效自评工作，并召开会议讨论了2023年部门预算安排及资金分配拨付情况、对部门日常财务管理提出了更高的要求。</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面实施预算绩效管理是中共中央、国务院一项制度性安排，高阳县退役军人事务局高度重视，由单位一把手负总责，财务主管和财务室牵头，各业务部室负责对本业务股室项目开展绩效自评，最后报财务室汇总审核，根据部室预算项目绩效目标和绩效指标自评结果，财务室对预算项目对应资金安排使用情况进行总体自评，填写绩效自评表并形成绩效自评报告上报财政局。</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2023年度预算安排41个预算项目涉及资金3241.02万元。其中中央、省级专项转移支付17个项目安排资金2383.36万元；县级预算项目24个安排资金857.66万元。2023年度实际拨付资金共计3241.02万元。</w:t>
      </w:r>
    </w:p>
    <w:p>
      <w:pPr>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二、绩效目标实现情况</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2023年退役军人事务局总体工作按照各项工作要求部署了各项资金的支出，按照各项工作的时间节点顺利完成了工作任务。专项资金和具体预算支出项目的预期绩效目标</w:t>
      </w:r>
      <w:r>
        <w:rPr>
          <w:rFonts w:hint="eastAsia" w:ascii="仿宋" w:hAnsi="仿宋" w:eastAsia="仿宋" w:cs="仿宋"/>
          <w:sz w:val="32"/>
          <w:szCs w:val="32"/>
          <w:lang w:val="en-US" w:eastAsia="zh-CN"/>
        </w:rPr>
        <w:t>基本全部完成：优抚对象补助资金严格按照相关政策规定发放对象和发放标准，及时准确的发放到优抚对象手中，确保</w:t>
      </w:r>
      <w:r>
        <w:rPr>
          <w:rFonts w:hint="eastAsia" w:ascii="仿宋" w:hAnsi="仿宋" w:eastAsia="仿宋" w:cs="仿宋"/>
          <w:sz w:val="32"/>
          <w:szCs w:val="32"/>
          <w:lang w:val="en-US" w:eastAsia="zh-CN"/>
        </w:rPr>
        <w:t>了优抚对象的基本生活得到了保障；优抚对象医疗补助资金严格按照相关政策规定及时准确的发放到优抚对象手中，对优抚对象参保参合缴费、住院和门诊费用及时进行</w:t>
      </w:r>
      <w:r>
        <w:rPr>
          <w:rFonts w:hint="eastAsia" w:ascii="仿宋" w:hAnsi="仿宋" w:eastAsia="仿宋" w:cs="仿宋"/>
          <w:sz w:val="32"/>
          <w:szCs w:val="32"/>
          <w:lang w:val="en-US" w:eastAsia="zh-CN"/>
        </w:rPr>
        <w:t>了补助，</w:t>
      </w:r>
      <w:r>
        <w:rPr>
          <w:rFonts w:hint="eastAsia" w:ascii="仿宋" w:hAnsi="仿宋" w:eastAsia="仿宋" w:cs="仿宋"/>
          <w:sz w:val="32"/>
          <w:szCs w:val="32"/>
          <w:lang w:val="en-US" w:eastAsia="zh-CN"/>
        </w:rPr>
        <w:t>有效的帮助解决</w:t>
      </w:r>
      <w:r>
        <w:rPr>
          <w:rFonts w:hint="eastAsia" w:ascii="仿宋" w:hAnsi="仿宋" w:eastAsia="仿宋" w:cs="仿宋"/>
          <w:sz w:val="32"/>
          <w:szCs w:val="32"/>
          <w:lang w:val="en-US" w:eastAsia="zh-CN"/>
        </w:rPr>
        <w:t>了优抚对象医疗难问题；退役安置补助资金按照相关政策和文件的标准进行审核，严格按照规定标准发放，确保</w:t>
      </w:r>
      <w:r>
        <w:rPr>
          <w:rFonts w:hint="eastAsia" w:ascii="仿宋" w:hAnsi="仿宋" w:eastAsia="仿宋" w:cs="仿宋"/>
          <w:sz w:val="32"/>
          <w:szCs w:val="32"/>
          <w:lang w:val="en-US" w:eastAsia="zh-CN"/>
        </w:rPr>
        <w:t>了退役士兵安置工作顺利进行；军队转业干部补助资金严格按照规定标准发放；英雄烈士设施维护、烈士纪念设施保护工作常态化稳步推进；基本杜绝</w:t>
      </w:r>
      <w:r>
        <w:rPr>
          <w:rFonts w:hint="eastAsia" w:ascii="仿宋" w:hAnsi="仿宋" w:eastAsia="仿宋" w:cs="仿宋"/>
          <w:sz w:val="32"/>
          <w:szCs w:val="32"/>
          <w:lang w:val="en-US" w:eastAsia="zh-CN"/>
        </w:rPr>
        <w:t>了我县退役军人进京赴省信访事件发生；保障</w:t>
      </w:r>
      <w:r>
        <w:rPr>
          <w:rFonts w:hint="eastAsia" w:ascii="仿宋" w:hAnsi="仿宋" w:eastAsia="仿宋" w:cs="仿宋"/>
          <w:sz w:val="32"/>
          <w:szCs w:val="32"/>
          <w:lang w:val="en-US" w:eastAsia="zh-CN"/>
        </w:rPr>
        <w:t>了退役军人事务局日常工作正常进行。</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预期绩效目标完成情况及评价结论：2023年支出进度达到100%的项目有41个，支出进度在60%以下的项目有0个，工作未开展的项目有0个。具体统计表如下：</w:t>
      </w:r>
    </w:p>
    <w:p>
      <w:pPr>
        <w:spacing w:line="580" w:lineRule="exact"/>
        <w:jc w:val="center"/>
        <w:rPr>
          <w:rFonts w:hint="eastAsia" w:ascii="仿宋" w:hAnsi="仿宋" w:eastAsia="仿宋" w:cs="仿宋"/>
          <w:sz w:val="32"/>
          <w:szCs w:val="32"/>
          <w:lang w:val="en-US" w:eastAsia="zh-CN"/>
        </w:rPr>
      </w:pPr>
      <w:r>
        <w:rPr>
          <w:rFonts w:hint="eastAsia" w:ascii="仿宋" w:hAnsi="仿宋" w:eastAsia="仿宋" w:cs="Times New Roman"/>
          <w:sz w:val="32"/>
          <w:szCs w:val="32"/>
          <w:lang w:val="en-US" w:eastAsia="zh-CN"/>
        </w:rPr>
        <w:t>退役军人事务局</w:t>
      </w: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eastAsia="zh-CN"/>
        </w:rPr>
        <w:t>年度部门预算项目</w:t>
      </w:r>
      <w:r>
        <w:rPr>
          <w:rFonts w:hint="eastAsia" w:ascii="仿宋" w:hAnsi="仿宋" w:eastAsia="仿宋" w:cs="Times New Roman"/>
          <w:sz w:val="32"/>
          <w:szCs w:val="32"/>
          <w:lang w:val="en-US" w:eastAsia="zh-CN"/>
        </w:rPr>
        <w:t>支出进度</w:t>
      </w:r>
      <w:r>
        <w:rPr>
          <w:rFonts w:hint="eastAsia" w:ascii="仿宋" w:hAnsi="仿宋" w:eastAsia="仿宋" w:cs="Times New Roman"/>
          <w:sz w:val="32"/>
          <w:szCs w:val="32"/>
          <w:lang w:eastAsia="zh-CN"/>
        </w:rPr>
        <w:t>汇总表</w:t>
      </w:r>
    </w:p>
    <w:tbl>
      <w:tblPr>
        <w:tblStyle w:val="2"/>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0"/>
        <w:gridCol w:w="1500"/>
        <w:gridCol w:w="190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预算金额(万元)</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实际拨付金额（万元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冀财社[2022]140号-优抚对象补助经费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冀财社[2022]161号-优抚对象补助（老党员生活补助）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优抚对象补助经费（建国前老党员补助）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春节及“八一”慰问资金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冀财社[2022]159号-企业军转干部生活困难补助经费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高蠡暴动纪念馆烈士纪念设施修缮维护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冀财社[2022]165号-退役安置补助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冀财社[2022]200号-退役安置补助经费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重点优抚对象短期疗养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优抚对象医疗补助经费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驻京、驻石家庄值班经费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云视频和电子政务外网网络服务经费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退役军人服务中心工作经费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双拥工作经费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企业军转干部解困补助资金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退役安置补助经费-冀财社[2022]219号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退役安置补助经费（自主就业退役士兵一次性经济补助）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退役安置资金（转业士官待安置期间生活费、保险费）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烈士纪念设施维护、英雄烈士保护工作经费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立功受奖现役军人一次性奖励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优抚对象补助经费（建国前老党员生活补助）-冀财社[2022]18号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优抚对象补助经费（义务兵家庭优待金）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进疆进藏义务兵特殊优待金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大学生入伍奖励金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优抚对象补助经费-冀财社[2022]214号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优抚对象补助经费(在乡复员、退伍军人补助）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冀财社[2022]143号-优抚对象医疗保障经费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冀财社[2022]161号-优抚对象补助（抚恤和生活补助）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冀财社[2022]161号-优抚对象补助（义务兵家庭优待金）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冀财社[2022]168号-优抚事业单位补助（烈士纪念设施维修改造补助）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冀财社[2022]158号-企业军转干部解困补助专项资金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冀财社[2022]161号-优抚对象补助（优抚对象医疗补助及参试人员体检经费）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冀财社[2022]202号-优抚对象补助经费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退役士兵管理（劳务派遣）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冀财社[2023]21号-退役安置补助（自主就业退役士兵一次性经济补助）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2023年“八一”慰问资金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冀财社[2023]133号-优抚对象医疗保障经费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冀财社[2023]143号-退役安置补助经费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冀财社[2023]144号-优抚对象补助经费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冀财社[2023]161号-优抚对象补助经费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退役安置补助经费(自主就业退役士兵一次性经济补助)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pPr>
        <w:snapToGrid w:val="0"/>
        <w:spacing w:line="580" w:lineRule="exact"/>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三、绩效目标设定质量情况</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退役军人事务局项目评价等级为优的指标数41个，评优率 = 100%；退役军人事务局项目评优率 &lt;60%的指标数0个。</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整体绩效目标、指标设定情况：</w:t>
      </w:r>
      <w:bookmarkStart w:id="0" w:name="_GoBack"/>
      <w:bookmarkEnd w:id="0"/>
      <w:r>
        <w:rPr>
          <w:rFonts w:hint="eastAsia" w:ascii="仿宋" w:hAnsi="仿宋" w:eastAsia="仿宋" w:cs="仿宋"/>
          <w:sz w:val="32"/>
          <w:szCs w:val="32"/>
          <w:lang w:val="en-US" w:eastAsia="zh-CN"/>
        </w:rPr>
        <w:t>通过以上分析，退役军人事务局除县及配套资金由于项目先行使用中央、省级专款后使用县及配套资金等原因，绩效目标、指标设定需要进行进一步优化外，其余项目绩效目标设定清晰准确，绩效指标全面完整、科学合理，绩效标准恰当适宜、易于评价。</w:t>
      </w:r>
    </w:p>
    <w:p>
      <w:pPr>
        <w:snapToGrid w:val="0"/>
        <w:spacing w:line="580" w:lineRule="exact"/>
        <w:rPr>
          <w:rFonts w:hint="eastAsia" w:ascii="黑体" w:hAnsi="黑体" w:eastAsia="黑体" w:cs="黑体"/>
          <w:sz w:val="32"/>
          <w:szCs w:val="32"/>
        </w:rPr>
      </w:pPr>
    </w:p>
    <w:p>
      <w:pPr>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四、整改措施及结果应用</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加强绩效意识。进一步科学设立绩效目标指标，加强财务与业务工作紧密衔接，完善内部工作机制，努力实现预算绩效管理工作常态化、制度化、规范化，将绩效理念和方法深度融入预算编制、执行、监督全过程，提高部门绩效意识。</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加强日常监控工作。绩效运行监控作为预算执行环节的重要绩效管理活动，按照“谁支出，谁负责”原则开展。绩效工作中，信息收集是基础，要及时对项目跟踪，加强对信息的处理、分析，发现问题及时提出调整意见。</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三是加强监控结果运用。通过绩效监控信息深入分析预算执行进度慢、绩效水平不高的具体原因，对绩效监控中发现的绩效目标执行偏差和管理漏洞，及时采取相应措施予以纠正。</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进一步加强全局内部机构各股室的预算管理意识，严格按照预算编制的相关制度和要求，公用经费根据单位的年度工作重点和项目专项工作规划，本着“勤俭节约、保障运转”的原则进行预算的编制。编制范围尽可能的全面，不漏项。严格控制，尽力避免超预算开支的情况发生，进一步提高预算编制的科学性、合理性、严谨性和可控性。</w:t>
      </w:r>
    </w:p>
    <w:p>
      <w:pPr>
        <w:snapToGrid w:val="0"/>
        <w:spacing w:line="580" w:lineRule="exact"/>
        <w:ind w:firstLine="640" w:firstLineChars="200"/>
        <w:rPr>
          <w:rFonts w:hint="eastAsia" w:ascii="仿宋" w:hAnsi="仿宋" w:eastAsia="仿宋" w:cs="仿宋"/>
          <w:sz w:val="32"/>
          <w:szCs w:val="32"/>
        </w:rPr>
      </w:pPr>
    </w:p>
    <w:p>
      <w:pPr>
        <w:snapToGrid w:val="0"/>
        <w:spacing w:line="580" w:lineRule="exact"/>
        <w:ind w:firstLine="640" w:firstLineChars="200"/>
        <w:rPr>
          <w:rFonts w:hint="eastAsia" w:ascii="仿宋" w:hAnsi="仿宋" w:eastAsia="仿宋" w:cs="仿宋"/>
          <w:sz w:val="32"/>
          <w:szCs w:val="32"/>
        </w:rPr>
      </w:pPr>
    </w:p>
    <w:p>
      <w:pPr>
        <w:snapToGrid w:val="0"/>
        <w:spacing w:line="580" w:lineRule="exact"/>
        <w:ind w:firstLine="640" w:firstLineChars="200"/>
        <w:jc w:val="right"/>
        <w:rPr>
          <w:rFonts w:hint="eastAsia" w:ascii="仿宋" w:hAnsi="仿宋" w:eastAsia="仿宋" w:cs="仿宋"/>
          <w:sz w:val="32"/>
          <w:szCs w:val="32"/>
          <w:lang w:val="en-US" w:eastAsia="zh-CN"/>
        </w:rPr>
      </w:pPr>
    </w:p>
    <w:p>
      <w:pPr>
        <w:snapToGrid w:val="0"/>
        <w:spacing w:line="580" w:lineRule="exact"/>
        <w:ind w:firstLine="640" w:firstLineChars="200"/>
        <w:jc w:val="right"/>
        <w:rPr>
          <w:rFonts w:hint="eastAsia" w:ascii="仿宋" w:hAnsi="仿宋" w:eastAsia="仿宋" w:cs="仿宋"/>
          <w:sz w:val="32"/>
          <w:szCs w:val="32"/>
          <w:lang w:val="en-US" w:eastAsia="zh-CN"/>
        </w:rPr>
      </w:pPr>
    </w:p>
    <w:p>
      <w:pPr>
        <w:snapToGrid w:val="0"/>
        <w:spacing w:line="580" w:lineRule="exact"/>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高阳县退役军人事务局</w:t>
      </w:r>
    </w:p>
    <w:p>
      <w:pPr>
        <w:snapToGrid w:val="0"/>
        <w:spacing w:line="580" w:lineRule="exact"/>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2024年3月29日</w:t>
      </w:r>
    </w:p>
    <w:p/>
    <w:sectPr>
      <w:pgSz w:w="11906" w:h="16838"/>
      <w:pgMar w:top="204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MjhlMzJlMjBlNzMyMTI3YTVjMWQ4MzE3NjMyYjkifQ=="/>
  </w:docVars>
  <w:rsids>
    <w:rsidRoot w:val="6CAE32D1"/>
    <w:rsid w:val="01CF6394"/>
    <w:rsid w:val="15B70A1A"/>
    <w:rsid w:val="24B44889"/>
    <w:rsid w:val="2CBE73F4"/>
    <w:rsid w:val="34F41963"/>
    <w:rsid w:val="62DE329C"/>
    <w:rsid w:val="6408782B"/>
    <w:rsid w:val="650A75D2"/>
    <w:rsid w:val="67536131"/>
    <w:rsid w:val="6A612216"/>
    <w:rsid w:val="6CAE32D1"/>
    <w:rsid w:val="709F3D62"/>
    <w:rsid w:val="71A6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2374</Words>
  <Characters>2888</Characters>
  <Lines>0</Lines>
  <Paragraphs>0</Paragraphs>
  <TotalTime>162</TotalTime>
  <ScaleCrop>false</ScaleCrop>
  <LinksUpToDate>false</LinksUpToDate>
  <CharactersWithSpaces>2923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2023-03-14T06:53:00Z</dcterms:created>
  <dc:creator>财务室</dc:creator>
  <cp:lastModifiedBy>Administrator</cp:lastModifiedBy>
  <dcterms:modified xsi:type="dcterms:W3CDTF">2024-03-29T06:53:08Z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D6B6D8BC9A5A432893594738A362054F</vt:lpwstr>
  </property>
</Properties>
</file>