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F92F">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保定市城乡居民医保政策问答</w:t>
      </w:r>
    </w:p>
    <w:p w14:paraId="15EA3161">
      <w:pPr>
        <w:spacing w:line="540" w:lineRule="exact"/>
        <w:jc w:val="center"/>
        <w:rPr>
          <w:rFonts w:hint="eastAsia" w:ascii="方正小标宋简体" w:hAnsi="方正小标宋简体" w:eastAsia="方正小标宋简体" w:cs="方正小标宋简体"/>
          <w:sz w:val="44"/>
          <w:szCs w:val="44"/>
        </w:rPr>
      </w:pPr>
    </w:p>
    <w:p w14:paraId="54751DA5">
      <w:pPr>
        <w:spacing w:line="540" w:lineRule="exact"/>
        <w:jc w:val="center"/>
        <w:rPr>
          <w:rFonts w:hint="eastAsia" w:ascii="方正小标宋简体" w:hAnsi="方正小标宋简体" w:eastAsia="方正小标宋简体" w:cs="方正小标宋简体"/>
          <w:sz w:val="32"/>
          <w:szCs w:val="32"/>
        </w:rPr>
      </w:pPr>
      <w:r>
        <w:rPr>
          <w:rFonts w:hint="eastAsia" w:ascii="楷体_GB2312" w:hAnsi="楷体_GB2312" w:eastAsia="楷体_GB2312" w:cs="楷体_GB2312"/>
          <w:sz w:val="32"/>
          <w:szCs w:val="32"/>
        </w:rPr>
        <w:t>（本资料仅为方便参保人了解、查阅基础政策制定，详细政策及解释以印发的规范性文件为准。）</w:t>
      </w:r>
    </w:p>
    <w:p w14:paraId="2BFF20C1">
      <w:pPr>
        <w:spacing w:line="540" w:lineRule="exact"/>
        <w:rPr>
          <w:rFonts w:hint="eastAsia" w:ascii="仿宋_GB2312" w:hAnsi="仿宋_GB2312" w:eastAsia="仿宋_GB2312" w:cs="仿宋_GB2312"/>
          <w:sz w:val="32"/>
          <w:szCs w:val="32"/>
        </w:rPr>
      </w:pPr>
    </w:p>
    <w:p w14:paraId="75984F79">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参保缴费篇</w:t>
      </w:r>
    </w:p>
    <w:p w14:paraId="6F2DBA1C">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问：我从来没有看过病，为什么要参加医保？</w:t>
      </w:r>
    </w:p>
    <w:p w14:paraId="4849A66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每个人都面临着不确定的疾病风险，医保就是用来防范和化解医疗费用风险的。医保的本质在于互助共济，体现共建共享的社会责任和个人健康保障责任。健康的人帮助生病的人，每个人都拿出一小部分钱放到一起，汇成一个大的基金池，万一哪天生病需要用钱，这就是你最好的保障。</w:t>
      </w:r>
    </w:p>
    <w:p w14:paraId="4C819C5A">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问：城乡居民基本医疗保险（以下简称“居民医保”）的参保范围是什么？</w:t>
      </w:r>
    </w:p>
    <w:p w14:paraId="235807D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答：本市辖区内未参加城镇职工基本医疗保险，且符合下列条件之一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城乡居民，应参加保定市城乡居民基本医疗保险：</w:t>
      </w:r>
    </w:p>
    <w:p w14:paraId="03322A4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（一）具有本市户籍且未参加城镇职工基本医疗保险的所有城乡居民；</w:t>
      </w:r>
    </w:p>
    <w:p w14:paraId="368C0DA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（二）取得本市居住证明（含港澳台居民）且未在原籍参加基本医疗保险的人员；</w:t>
      </w:r>
    </w:p>
    <w:p w14:paraId="35F58EA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（三）各类全日制普通高等学校（包括民办高校）在校生及全日制研究生；</w:t>
      </w:r>
    </w:p>
    <w:p w14:paraId="286F51C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（四）农民工和灵活就业人员依法参加城镇职工基本医疗保险，确有困难的可参加城乡居民基本医疗保险；</w:t>
      </w:r>
    </w:p>
    <w:p w14:paraId="519FF07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（五）外籍人员参加城乡居民基本医疗保险按照《在中国境内就业的外国人参加社会保险暂行办法》执行；</w:t>
      </w:r>
    </w:p>
    <w:p w14:paraId="7FD9DF0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（六）根据实际情况，按规定可以参照适用《保定市城乡居民基本医疗保险实施办法》的其他人员。</w:t>
      </w:r>
    </w:p>
    <w:p w14:paraId="644DCD6F">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问：居民医保什么时间缴纳？</w:t>
      </w:r>
    </w:p>
    <w:p w14:paraId="17CEF6A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居民医保实行按年预缴费制度，集中缴费期为每年9月1日至12月25日（如有延期，按省规定执行），每月25日至月末为费款结算期，不办理缴费业务。次年1月1日至12月31日为待遇保障期。参加居民医保应在集中征缴期内缴纳保费。大中专院校学生由所在学校统一组织办理参保登记和缴费。</w:t>
      </w:r>
    </w:p>
    <w:p w14:paraId="79D99B57">
      <w:pPr>
        <w:spacing w:line="54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问：2024年居民医保的缴费标准是多少？</w:t>
      </w:r>
    </w:p>
    <w:p w14:paraId="2C2952A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答：我市执行国家最低缴费标准，2025年个人缴费400元，国家财政补助不低于670元。</w:t>
      </w:r>
    </w:p>
    <w:p w14:paraId="4855198D">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问：常用便捷的缴费途径是什么？</w:t>
      </w:r>
    </w:p>
    <w:p w14:paraId="03C20F3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答：微信搜索“河北税务”公众号，选择“业务办理”，选择“社保缴纳”，选择“个人社保缴费”，之后按提示操作即可，在缴费时要注意参保地是否与您拟要参保的地区一致。</w:t>
      </w:r>
    </w:p>
    <w:p w14:paraId="46CF68E8">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问：新生儿怎么参加居民医保、怎么享受待遇？</w:t>
      </w:r>
    </w:p>
    <w:p w14:paraId="1DF86CA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2024年12月31日前出生的新生儿，自出生之日起180日内到户籍所在地医保经办机构办理参保登记及缴费；2025年1月1日后出生的新生儿，自出生之日起90天内到户籍所在地医保经办机构办理参保登记及缴费。只需缴纳个人缴费部分，可自出生之日起享受当年度居民医保待遇。新生儿从出生之日起到办理参保登记及缴费日，跨两个年度的，按规定标准缴纳两个年度的个人缴费部分后，分别按两个年度享受相应的居民医保待遇。</w:t>
      </w:r>
    </w:p>
    <w:p w14:paraId="5E6C99AE">
      <w:pPr>
        <w:spacing w:line="54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问：已缴纳了居民医保费用能否退费？</w:t>
      </w:r>
    </w:p>
    <w:p w14:paraId="07509AB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答：缴费后进入待遇享受期的不予退费，未进入待遇享受期可以退费。</w:t>
      </w:r>
    </w:p>
    <w:p w14:paraId="3A4BB3D9">
      <w:pPr>
        <w:spacing w:line="54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问：居民医保遇到何情况参保关系自行终止？</w:t>
      </w:r>
    </w:p>
    <w:p w14:paraId="053F581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答：参保居民有下列情形之一的，居民医保关系自行终止：</w:t>
      </w:r>
    </w:p>
    <w:p w14:paraId="6A24009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（一）服役人员从服役之日起，停止享受城乡居民医疗保险待遇；</w:t>
      </w:r>
    </w:p>
    <w:p w14:paraId="02367EB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（二）服刑人员从服刑之日起，停止享受城乡居民医疗保险待遇，判处管制、宣告缓刑、假释、暂予监外执行等社区服刑人员（不包括保外就医人员），可继续参加城乡居民基本医疗保险；</w:t>
      </w:r>
    </w:p>
    <w:p w14:paraId="7FA7E341">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（三）参保居民死亡，停止享受城乡居民医疗保险待遇；</w:t>
      </w:r>
    </w:p>
    <w:p w14:paraId="66C63E5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（四）按有关规定需终止医疗保险关系的其他情况。</w:t>
      </w:r>
    </w:p>
    <w:p w14:paraId="5E522E40">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问：如果已经参加了居民医保还能再参加城镇职工基本医疗保险么？</w:t>
      </w:r>
    </w:p>
    <w:p w14:paraId="11C5324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答：不能重复参保。应先办理居民医保终止参保手续，再按有关规定办理城镇职工基本医疗保险参保登记手续。</w:t>
      </w:r>
    </w:p>
    <w:p w14:paraId="5525BBC2">
      <w:pPr>
        <w:spacing w:line="540" w:lineRule="exact"/>
        <w:ind w:firstLine="640" w:firstLineChars="200"/>
        <w:rPr>
          <w:rFonts w:hint="eastAsia" w:ascii="黑体" w:hAnsi="黑体" w:eastAsia="黑体" w:cs="黑体"/>
          <w:sz w:val="32"/>
          <w:szCs w:val="32"/>
        </w:rPr>
      </w:pPr>
    </w:p>
    <w:p w14:paraId="23A0DAA5">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医保待遇篇</w:t>
      </w:r>
    </w:p>
    <w:p w14:paraId="6CF0A542">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问：居民医保的报销范围是什么？</w:t>
      </w:r>
    </w:p>
    <w:p w14:paraId="6700D37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报销范围限政策范围内医疗费用，即国家规定的基本医疗保险对药品、诊疗项目和医疗服务设施的报销范围，俗称“三个目录”。参保人员就医发生的医疗费用，属于“三个目录”内的，可以按规定进行报销；不属于“三个目录”内的，医保不予报销。</w:t>
      </w:r>
    </w:p>
    <w:p w14:paraId="25BCFA5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医保药品目录中的药品还分“甲类”和“乙类”，两个分类的药品在计算报销金额时，纳入报销范围的比例也不同：甲类全额纳入报销范围，按规定比例报销；乙类先按比例扣除一定的个人自付费用后，余下的费用再纳入报销范围，按规定比例报销。《药品目录》内乙类药品（不含协议期内谈判药品）个人先行自付比例执行全省统一规定5%。协议期内谈判药品中，治疗肿瘤的西药，个人先行自付比例统一执行全省统一规定20%；其余药品个人先行自付比例统一确定为5%。原常规乙类药品调入协议期内谈判药品的，个人先行自付比例按照常规乙类药品政策执行。</w:t>
      </w:r>
    </w:p>
    <w:p w14:paraId="5DDD6081">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问：居民医保参保人都能够享受哪些方面的待遇？</w:t>
      </w:r>
    </w:p>
    <w:p w14:paraId="10CC20D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居民普通门诊、门诊慢（特）病（需通过评审鉴定）、“两病”门诊用药和住院费用等享受医疗保险待遇。政策范围内医疗费用，基本医疗保险统筹基金年度最高支付限额为20万元。大病保险年度最高支付限额为30万元，合计50万元。今年，我市再次提高了门诊统筹待遇水平，以便更好地保障参保居民门诊就医。</w:t>
      </w:r>
    </w:p>
    <w:p w14:paraId="021481C5">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问：普通门诊统筹的待遇是什么？</w:t>
      </w:r>
    </w:p>
    <w:p w14:paraId="67C315B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答：参保居民（除大学生外）在定点医疗机构政策范围内普通门诊医疗费用起付标准为每人每年50元，报销比例60%，年度最高支付限额200元。</w:t>
      </w:r>
    </w:p>
    <w:p w14:paraId="4225F63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参加城乡居民基本医疗保险的大学生门诊统筹起付标准为每人每年50元，报销比例为80%，年度最高支付限额为300元。</w:t>
      </w:r>
    </w:p>
    <w:p w14:paraId="456269F3">
      <w:pPr>
        <w:spacing w:line="540" w:lineRule="exact"/>
        <w:ind w:firstLine="420" w:firstLineChars="200"/>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98160" cy="2132965"/>
            <wp:effectExtent l="0" t="0" r="1016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598160" cy="2132965"/>
                    </a:xfrm>
                    <a:prstGeom prst="rect">
                      <a:avLst/>
                    </a:prstGeom>
                    <a:noFill/>
                    <a:ln>
                      <a:noFill/>
                    </a:ln>
                  </pic:spPr>
                </pic:pic>
              </a:graphicData>
            </a:graphic>
          </wp:anchor>
        </w:drawing>
      </w:r>
    </w:p>
    <w:p w14:paraId="6B87794C">
      <w:pPr>
        <w:spacing w:line="540" w:lineRule="exact"/>
        <w:ind w:firstLine="640" w:firstLineChars="200"/>
        <w:rPr>
          <w:rFonts w:hint="eastAsia" w:ascii="仿宋_GB2312" w:hAnsi="仿宋_GB2312" w:eastAsia="仿宋_GB2312" w:cs="仿宋_GB2312"/>
          <w:sz w:val="32"/>
          <w:szCs w:val="32"/>
        </w:rPr>
      </w:pPr>
    </w:p>
    <w:p w14:paraId="474559A3">
      <w:pPr>
        <w:spacing w:line="540" w:lineRule="exact"/>
        <w:ind w:firstLine="640" w:firstLineChars="200"/>
        <w:rPr>
          <w:rFonts w:hint="eastAsia" w:ascii="仿宋_GB2312" w:hAnsi="仿宋_GB2312" w:eastAsia="仿宋_GB2312" w:cs="仿宋_GB2312"/>
          <w:sz w:val="32"/>
          <w:szCs w:val="32"/>
        </w:rPr>
      </w:pPr>
    </w:p>
    <w:p w14:paraId="4A8C93F6">
      <w:pPr>
        <w:spacing w:line="540" w:lineRule="exact"/>
        <w:rPr>
          <w:rFonts w:hint="eastAsia" w:ascii="仿宋_GB2312" w:hAnsi="仿宋_GB2312" w:eastAsia="仿宋_GB2312" w:cs="仿宋_GB2312"/>
          <w:b/>
          <w:bCs/>
          <w:sz w:val="32"/>
          <w:szCs w:val="32"/>
        </w:rPr>
      </w:pPr>
    </w:p>
    <w:p w14:paraId="0E1524BA">
      <w:pPr>
        <w:spacing w:line="540" w:lineRule="exact"/>
        <w:ind w:firstLine="643" w:firstLineChars="200"/>
        <w:rPr>
          <w:rFonts w:hint="eastAsia" w:ascii="仿宋_GB2312" w:hAnsi="仿宋_GB2312" w:eastAsia="仿宋_GB2312" w:cs="仿宋_GB2312"/>
          <w:b/>
          <w:bCs/>
          <w:sz w:val="32"/>
          <w:szCs w:val="32"/>
        </w:rPr>
      </w:pPr>
    </w:p>
    <w:p w14:paraId="5C2EBDAC">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问：糖尿病、高血压“两病”门诊用药保障机制的待遇是什么？</w:t>
      </w:r>
    </w:p>
    <w:p w14:paraId="082F61F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加居民医保并需要采取药物治疗的“两病”患者（不含已通过居民医保“高血压、糖尿病”门诊慢性病评审人员）门诊发生的降血压、降血糖药品费用由统筹基金支付，政策范围内统筹基金报销比例为50%，不设起付线，统筹基金最高支付限额高血压为225元/年/人，糖尿病为375元/年/人。对同时患有“两病”的保障对象，分别享受相应待遇。</w:t>
      </w:r>
    </w:p>
    <w:p w14:paraId="1CCE7C47">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问：有哪些病可以申报门诊慢特病？</w:t>
      </w:r>
    </w:p>
    <w:p w14:paraId="38827C1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bookmarkStart w:id="0" w:name="_Hlk162537127"/>
      <w:r>
        <w:rPr>
          <w:rFonts w:hint="eastAsia" w:ascii="仿宋_GB2312" w:hAnsi="仿宋_GB2312" w:eastAsia="仿宋_GB2312" w:cs="仿宋_GB2312"/>
          <w:sz w:val="32"/>
          <w:szCs w:val="32"/>
        </w:rPr>
        <w:t>目前，我市门诊慢特病病种分为两类，一类是门诊慢性病，一类是门诊特殊疾病。</w:t>
      </w:r>
    </w:p>
    <w:p w14:paraId="00DE94F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慢性病病种包括∶慢性阻塞性肺气肿、慢性肺源性心脏病、脑血管病后遗症严重功能障碍、心绞痛、心肌梗死、缺血性心肌病（心肌纤维化）、慢性心力衰竭、房颤、风湿性心脏病、慢性肝炎活动期（慢性中重度病毒性肝炎）、肝硬化、糖尿病（合并严重并发症）、胃溃疡、十二指肠溃疡、高血压（合并严重并发症）、系统性红斑狼疮、类风湿关节炎、干燥综合征、再生障碍性贫血、精神分裂症、抑郁症、强迫性障碍、偏执性精神病、双相（情感）障碍、癫痫所致精神障碍、精神障碍、分裂情感性精神障碍、严重精神发育迟滞、肾病综合征、慢性肾衰竭、慢性肾炎、溃疡性结肠炎、克罗恩病、恶性肿瘤门诊治疗、帕金森病、股骨头坏死、垂体瘤、原发性肺纤维化、动脉硬化闭塞症、重症肌无力、癫痫病、活动性结核病（肺结核，气管、支气管结核，结核性胸膜炎，中枢神经系统结核，骨、关节结核）、银屑病、强直性脊柱炎、哮喘、阿尔茨海默症、甲状腺功能减退症、肝痘状核变性、青光眼、真性红细胞增多症、</w:t>
      </w:r>
      <w:r>
        <w:rPr>
          <w:rFonts w:hint="eastAsia" w:ascii="仿宋_GB2312" w:eastAsia="仿宋_GB2312"/>
          <w:bCs/>
          <w:sz w:val="32"/>
          <w:szCs w:val="32"/>
        </w:rPr>
        <w:t>免疫性血小板减少症、紫癜</w:t>
      </w:r>
      <w:r>
        <w:rPr>
          <w:rFonts w:hint="eastAsia" w:ascii="仿宋_GB2312" w:hAnsi="仿宋_GB2312" w:eastAsia="仿宋_GB2312" w:cs="仿宋_GB2312"/>
          <w:sz w:val="32"/>
          <w:szCs w:val="32"/>
        </w:rPr>
        <w:t>。</w:t>
      </w:r>
    </w:p>
    <w:p w14:paraId="760458D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门诊特殊疾病病种包括：</w:t>
      </w:r>
      <w:bookmarkStart w:id="1" w:name="_Hlk162534747"/>
      <w:r>
        <w:rPr>
          <w:rFonts w:hint="eastAsia" w:ascii="仿宋_GB2312" w:hAnsi="仿宋_GB2312" w:eastAsia="仿宋_GB2312" w:cs="仿宋_GB2312"/>
          <w:sz w:val="32"/>
          <w:szCs w:val="32"/>
        </w:rPr>
        <w:t>脏器移植（异体器官移植术后、骨髓移植）、透析治疗（血液透析、腹膜透析）、血友病、动脉性肺动脉高压、恶性肿瘤（放化疗）、肌萎缩侧索硬化症、多发性硬化（含视神经脊髓炎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bookmarkEnd w:id="1"/>
    </w:p>
    <w:bookmarkEnd w:id="0"/>
    <w:p w14:paraId="1FD1C711">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除上述病种外，</w:t>
      </w:r>
      <w:r>
        <w:rPr>
          <w:rFonts w:hint="eastAsia" w:ascii="仿宋_GB2312" w:eastAsia="仿宋_GB2312"/>
          <w:bCs/>
          <w:sz w:val="32"/>
          <w:szCs w:val="32"/>
        </w:rPr>
        <w:t>城乡居民门诊慢性病还包括：脑瘫。城乡居民门诊特殊疾病还包括：噬血细胞综合征（限儿童）、免疫性血小板减少症（限儿童）、系统性红斑狼疮（限儿童）、再生障碍性贫血（限儿童）、门诊意外伤害（限儿童）、朗格罕细胞组织细胞增生症（限儿童）、慢性活动性 EB 病毒感染（限儿童）、免疫性溶血性贫血（限儿童）。</w:t>
      </w:r>
    </w:p>
    <w:p w14:paraId="4DCE9FC8">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问：申报门诊慢特病的基本流程是什么？</w:t>
      </w:r>
    </w:p>
    <w:p w14:paraId="0AD495E0">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按照《河北省医疗保障局关于进一步做好全省基本医疗保险门诊慢（特）病认定有关事项的通知》，自2021年7月1日起，全省推行门诊慢性病、特殊病网上随时申报、医疗机构评审认定新模式。参保人登录“河北智慧医保”微信小程序，进行在线注册，填报申报人基本信息和申报病种，同时上传原发病历资料及近1年能佐证所申报病种住院、门诊病历和相关检查、化验等资料。自主选择具有认定资格的定点医疗机构，填写完整并线上提交后，非特殊人员需要在30天内携带相关纸质病史资料到所选定点医疗机构进行现场核验，如为特殊人员，由医师直接在网上评审认定，申报人无需到医院。</w:t>
      </w:r>
    </w:p>
    <w:p w14:paraId="18865A2A">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的认定医师经过初审、复审的鉴定环节之后，对符合认定条件的在认定系统中进行认定确认；对不符合认定条件的，在认定系统中填写不予认定理由；对申报材料不支持认定，需进一步补充检查的，在认定系统中填写补充资料的相关信息，申报人补充相关资料后，可以重新上传申报。</w:t>
      </w:r>
    </w:p>
    <w:p w14:paraId="753DC20A">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问：城乡居民医保住院待遇是什么？</w:t>
      </w:r>
    </w:p>
    <w:p w14:paraId="5D49F01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答：参保城乡居民在定点医疗机构发生的，符合城乡居民基本医疗保险统筹基金支付范围的住院医疗费用，按下列规定予以支付：</w:t>
      </w:r>
    </w:p>
    <w:p w14:paraId="788CA94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起付标准：乡镇卫生院（社区卫生服务中心）100元，一级医疗机构300元，二级医疗机构600元，三级医疗机构2000元；省域内公立中医院执行一级医疗机构起付标准。</w:t>
      </w:r>
    </w:p>
    <w:p w14:paraId="4747CDF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比例：省域内的乡镇卫生院（社区卫生服务中心）、一级医疗机构90%，二级医疗机构75%，三级医疗机构55%。省域外乡镇卫生院（社区卫生服务中心）、一级医疗机构80%，二级医疗机构65%，三级医疗机构55%。对使用中医药治疗的医药和诊疗费用支付比例提高5个百分点，对学生儿童（含大学生）二级及以上医疗机构支付比例提高10个百分点。北京和天津定点医疗机构按省域内标准执行。详见下表。</w:t>
      </w:r>
    </w:p>
    <w:p w14:paraId="28B5FC50">
      <w:pPr>
        <w:spacing w:line="540" w:lineRule="exact"/>
        <w:ind w:firstLine="640" w:firstLineChars="200"/>
        <w:rPr>
          <w:rFonts w:hint="eastAsia" w:ascii="仿宋_GB2312" w:hAnsi="仿宋_GB2312" w:eastAsia="仿宋_GB2312" w:cs="仿宋_GB2312"/>
          <w:sz w:val="32"/>
          <w:szCs w:val="32"/>
        </w:rPr>
      </w:pPr>
    </w:p>
    <w:p w14:paraId="689D52A4">
      <w:pPr>
        <w:spacing w:line="540" w:lineRule="exact"/>
        <w:ind w:firstLine="640" w:firstLineChars="200"/>
        <w:rPr>
          <w:rFonts w:hint="eastAsia" w:ascii="仿宋_GB2312" w:hAnsi="仿宋_GB2312" w:eastAsia="仿宋_GB2312" w:cs="仿宋_GB2312"/>
          <w:sz w:val="32"/>
          <w:szCs w:val="32"/>
        </w:rPr>
      </w:pPr>
    </w:p>
    <w:p w14:paraId="767845A7">
      <w:pPr>
        <w:spacing w:line="540" w:lineRule="exact"/>
        <w:ind w:firstLine="640" w:firstLineChars="200"/>
        <w:rPr>
          <w:rFonts w:hint="eastAsia" w:ascii="仿宋_GB2312" w:hAnsi="仿宋_GB2312" w:eastAsia="仿宋_GB2312" w:cs="仿宋_GB2312"/>
          <w:sz w:val="32"/>
          <w:szCs w:val="32"/>
        </w:rPr>
      </w:pPr>
    </w:p>
    <w:p w14:paraId="7F14FCF8">
      <w:pPr>
        <w:spacing w:line="540" w:lineRule="exact"/>
        <w:ind w:firstLine="640" w:firstLineChars="200"/>
        <w:rPr>
          <w:rFonts w:hint="eastAsia" w:ascii="仿宋_GB2312" w:hAnsi="仿宋_GB2312" w:eastAsia="仿宋_GB2312" w:cs="仿宋_GB2312"/>
          <w:sz w:val="32"/>
          <w:szCs w:val="32"/>
        </w:rPr>
      </w:pPr>
    </w:p>
    <w:p w14:paraId="6339A61C">
      <w:pPr>
        <w:spacing w:line="540" w:lineRule="exact"/>
        <w:ind w:firstLine="640" w:firstLineChars="200"/>
        <w:rPr>
          <w:rFonts w:hint="eastAsia" w:ascii="仿宋_GB2312" w:hAnsi="仿宋_GB2312" w:eastAsia="仿宋_GB2312" w:cs="仿宋_GB2312"/>
          <w:sz w:val="32"/>
          <w:szCs w:val="32"/>
        </w:rPr>
      </w:pPr>
    </w:p>
    <w:p w14:paraId="35A66F4B">
      <w:pPr>
        <w:spacing w:line="540" w:lineRule="exact"/>
        <w:ind w:firstLine="640" w:firstLineChars="200"/>
        <w:rPr>
          <w:rFonts w:hint="eastAsia" w:ascii="仿宋_GB2312" w:hAnsi="仿宋_GB2312" w:eastAsia="仿宋_GB2312" w:cs="仿宋_GB2312"/>
          <w:sz w:val="32"/>
          <w:szCs w:val="32"/>
        </w:rPr>
      </w:pPr>
    </w:p>
    <w:tbl>
      <w:tblPr>
        <w:tblStyle w:val="7"/>
        <w:tblW w:w="9875" w:type="dxa"/>
        <w:tblInd w:w="-664" w:type="dxa"/>
        <w:tblLayout w:type="fixed"/>
        <w:tblCellMar>
          <w:top w:w="0" w:type="dxa"/>
          <w:left w:w="108" w:type="dxa"/>
          <w:bottom w:w="0" w:type="dxa"/>
          <w:right w:w="108" w:type="dxa"/>
        </w:tblCellMar>
      </w:tblPr>
      <w:tblGrid>
        <w:gridCol w:w="1212"/>
        <w:gridCol w:w="1263"/>
        <w:gridCol w:w="700"/>
        <w:gridCol w:w="837"/>
        <w:gridCol w:w="700"/>
        <w:gridCol w:w="1375"/>
        <w:gridCol w:w="738"/>
        <w:gridCol w:w="825"/>
        <w:gridCol w:w="762"/>
        <w:gridCol w:w="1463"/>
      </w:tblGrid>
      <w:tr w14:paraId="533FE92D">
        <w:tblPrEx>
          <w:tblCellMar>
            <w:top w:w="0" w:type="dxa"/>
            <w:left w:w="108" w:type="dxa"/>
            <w:bottom w:w="0" w:type="dxa"/>
            <w:right w:w="108" w:type="dxa"/>
          </w:tblCellMar>
        </w:tblPrEx>
        <w:trPr>
          <w:trHeight w:val="600" w:hRule="atLeast"/>
        </w:trPr>
        <w:tc>
          <w:tcPr>
            <w:tcW w:w="9875" w:type="dxa"/>
            <w:gridSpan w:val="10"/>
            <w:tcBorders>
              <w:top w:val="nil"/>
              <w:left w:val="nil"/>
              <w:bottom w:val="nil"/>
              <w:right w:val="nil"/>
            </w:tcBorders>
            <w:shd w:val="clear" w:color="auto" w:fill="auto"/>
            <w:vAlign w:val="center"/>
          </w:tcPr>
          <w:p w14:paraId="4D085208">
            <w:pPr>
              <w:widowControl/>
              <w:jc w:val="center"/>
              <w:textAlignment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kern w:val="0"/>
                <w:sz w:val="36"/>
                <w:szCs w:val="36"/>
                <w:lang w:bidi="ar"/>
              </w:rPr>
              <w:t>住院报销政策一览表</w:t>
            </w:r>
          </w:p>
        </w:tc>
      </w:tr>
      <w:tr w14:paraId="584052E3">
        <w:tblPrEx>
          <w:tblCellMar>
            <w:top w:w="0" w:type="dxa"/>
            <w:left w:w="108" w:type="dxa"/>
            <w:bottom w:w="0" w:type="dxa"/>
            <w:right w:w="108" w:type="dxa"/>
          </w:tblCellMar>
        </w:tblPrEx>
        <w:trPr>
          <w:trHeight w:val="1350" w:hRule="atLeast"/>
        </w:trPr>
        <w:tc>
          <w:tcPr>
            <w:tcW w:w="1212" w:type="dxa"/>
            <w:tcBorders>
              <w:top w:val="single" w:color="auto" w:sz="4" w:space="0"/>
              <w:left w:val="nil"/>
              <w:bottom w:val="single" w:color="auto" w:sz="4" w:space="0"/>
              <w:right w:val="single" w:color="auto" w:sz="4" w:space="0"/>
            </w:tcBorders>
            <w:shd w:val="clear" w:color="auto" w:fill="auto"/>
            <w:vAlign w:val="center"/>
          </w:tcPr>
          <w:p w14:paraId="55E14F3E">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医疗机构类别</w:t>
            </w:r>
          </w:p>
        </w:tc>
        <w:tc>
          <w:tcPr>
            <w:tcW w:w="35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A9ECF1">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省域内（含京、津）定点医疗机构</w:t>
            </w:r>
          </w:p>
        </w:tc>
        <w:tc>
          <w:tcPr>
            <w:tcW w:w="37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F3B735">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省域外定点医疗机构</w:t>
            </w:r>
          </w:p>
        </w:tc>
        <w:tc>
          <w:tcPr>
            <w:tcW w:w="1463" w:type="dxa"/>
            <w:tcBorders>
              <w:top w:val="single" w:color="000000" w:sz="8" w:space="0"/>
              <w:left w:val="single" w:color="auto" w:sz="4" w:space="0"/>
              <w:bottom w:val="single" w:color="auto" w:sz="4" w:space="0"/>
              <w:right w:val="nil"/>
            </w:tcBorders>
            <w:shd w:val="clear" w:color="auto" w:fill="auto"/>
            <w:vAlign w:val="center"/>
          </w:tcPr>
          <w:p w14:paraId="44C86E68">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年度内个人累计最高支付限额</w:t>
            </w:r>
          </w:p>
        </w:tc>
      </w:tr>
      <w:tr w14:paraId="426EE0E8">
        <w:tblPrEx>
          <w:tblCellMar>
            <w:top w:w="0" w:type="dxa"/>
            <w:left w:w="108" w:type="dxa"/>
            <w:bottom w:w="0" w:type="dxa"/>
            <w:right w:w="108" w:type="dxa"/>
          </w:tblCellMar>
        </w:tblPrEx>
        <w:trPr>
          <w:trHeight w:val="1635" w:hRule="atLeast"/>
        </w:trPr>
        <w:tc>
          <w:tcPr>
            <w:tcW w:w="1212" w:type="dxa"/>
            <w:tcBorders>
              <w:top w:val="single" w:color="auto" w:sz="4" w:space="0"/>
              <w:left w:val="nil"/>
              <w:bottom w:val="single" w:color="auto" w:sz="4" w:space="0"/>
              <w:right w:val="single" w:color="auto" w:sz="4" w:space="0"/>
            </w:tcBorders>
            <w:shd w:val="clear" w:color="auto" w:fill="auto"/>
            <w:vAlign w:val="center"/>
          </w:tcPr>
          <w:p w14:paraId="36B8B6C4">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医疗机构级别</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6748510C">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乡镇卫生院（社区卫生服务中心）</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C5A1D03">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一级医疗机构</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0817EC43">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二级医疗机构</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8CF7699">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三级医疗机构</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A057E28">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乡镇卫生院（社区卫生服务中心）</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FC5B5AC">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一级医疗机构</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ED76BF7">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二级医疗机构</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955AC88">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三级医疗机构</w:t>
            </w:r>
          </w:p>
        </w:tc>
        <w:tc>
          <w:tcPr>
            <w:tcW w:w="1463" w:type="dxa"/>
            <w:vMerge w:val="restart"/>
            <w:tcBorders>
              <w:top w:val="single" w:color="auto" w:sz="4" w:space="0"/>
              <w:left w:val="single" w:color="auto" w:sz="4" w:space="0"/>
              <w:bottom w:val="single" w:color="5A5A5A" w:sz="8" w:space="0"/>
              <w:right w:val="nil"/>
            </w:tcBorders>
            <w:shd w:val="clear" w:color="auto" w:fill="auto"/>
            <w:vAlign w:val="center"/>
          </w:tcPr>
          <w:p w14:paraId="66C8DA62">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符合统筹基金支付范围的医疗费用，年度最高支付限额20万元</w:t>
            </w:r>
          </w:p>
        </w:tc>
      </w:tr>
      <w:tr w14:paraId="21001052">
        <w:tblPrEx>
          <w:tblCellMar>
            <w:top w:w="0" w:type="dxa"/>
            <w:left w:w="108" w:type="dxa"/>
            <w:bottom w:w="0" w:type="dxa"/>
            <w:right w:w="108" w:type="dxa"/>
          </w:tblCellMar>
        </w:tblPrEx>
        <w:trPr>
          <w:trHeight w:val="285" w:hRule="atLeast"/>
        </w:trPr>
        <w:tc>
          <w:tcPr>
            <w:tcW w:w="1212" w:type="dxa"/>
            <w:tcBorders>
              <w:top w:val="single" w:color="auto" w:sz="4" w:space="0"/>
              <w:left w:val="nil"/>
              <w:bottom w:val="single" w:color="auto" w:sz="4" w:space="0"/>
              <w:right w:val="single" w:color="auto" w:sz="4" w:space="0"/>
            </w:tcBorders>
            <w:shd w:val="clear" w:color="auto" w:fill="auto"/>
            <w:vAlign w:val="center"/>
          </w:tcPr>
          <w:p w14:paraId="32B6EF1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起付标准</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2EFDF6E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100元</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FF6D23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300元</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1AEA717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600元</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F0F25D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2000元</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32B738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100元</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4FB2A3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300元</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28FD16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600元</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261508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2000元</w:t>
            </w:r>
          </w:p>
        </w:tc>
        <w:tc>
          <w:tcPr>
            <w:tcW w:w="1463" w:type="dxa"/>
            <w:vMerge w:val="continue"/>
            <w:tcBorders>
              <w:top w:val="nil"/>
              <w:left w:val="single" w:color="auto" w:sz="4" w:space="0"/>
              <w:bottom w:val="single" w:color="5A5A5A" w:sz="8" w:space="0"/>
              <w:right w:val="nil"/>
            </w:tcBorders>
            <w:shd w:val="clear" w:color="auto" w:fill="auto"/>
            <w:vAlign w:val="center"/>
          </w:tcPr>
          <w:p w14:paraId="5A5C4641">
            <w:pPr>
              <w:jc w:val="center"/>
              <w:rPr>
                <w:rFonts w:hint="eastAsia" w:ascii="仿宋_GB2312" w:hAnsi="宋体" w:eastAsia="仿宋_GB2312" w:cs="仿宋_GB2312"/>
                <w:b/>
                <w:bCs/>
                <w:sz w:val="22"/>
                <w:szCs w:val="22"/>
              </w:rPr>
            </w:pPr>
          </w:p>
        </w:tc>
      </w:tr>
      <w:tr w14:paraId="60B627FD">
        <w:tblPrEx>
          <w:tblCellMar>
            <w:top w:w="0" w:type="dxa"/>
            <w:left w:w="108" w:type="dxa"/>
            <w:bottom w:w="0" w:type="dxa"/>
            <w:right w:w="108" w:type="dxa"/>
          </w:tblCellMar>
        </w:tblPrEx>
        <w:trPr>
          <w:trHeight w:val="300" w:hRule="atLeast"/>
        </w:trPr>
        <w:tc>
          <w:tcPr>
            <w:tcW w:w="1212" w:type="dxa"/>
            <w:tcBorders>
              <w:top w:val="single" w:color="auto" w:sz="4" w:space="0"/>
              <w:left w:val="nil"/>
              <w:bottom w:val="single" w:color="auto" w:sz="4" w:space="0"/>
              <w:right w:val="single" w:color="auto" w:sz="4" w:space="0"/>
            </w:tcBorders>
            <w:shd w:val="clear" w:color="auto" w:fill="F0F0F0"/>
            <w:vAlign w:val="center"/>
          </w:tcPr>
          <w:p w14:paraId="1A7ED21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报销比例</w:t>
            </w:r>
          </w:p>
        </w:tc>
        <w:tc>
          <w:tcPr>
            <w:tcW w:w="1263" w:type="dxa"/>
            <w:tcBorders>
              <w:top w:val="single" w:color="auto" w:sz="4" w:space="0"/>
              <w:left w:val="single" w:color="auto" w:sz="4" w:space="0"/>
              <w:bottom w:val="single" w:color="auto" w:sz="4" w:space="0"/>
              <w:right w:val="single" w:color="auto" w:sz="4" w:space="0"/>
            </w:tcBorders>
            <w:shd w:val="clear" w:color="auto" w:fill="F0F0F0"/>
            <w:vAlign w:val="center"/>
          </w:tcPr>
          <w:p w14:paraId="0E4D731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90%</w:t>
            </w:r>
          </w:p>
        </w:tc>
        <w:tc>
          <w:tcPr>
            <w:tcW w:w="700" w:type="dxa"/>
            <w:tcBorders>
              <w:top w:val="single" w:color="auto" w:sz="4" w:space="0"/>
              <w:left w:val="single" w:color="auto" w:sz="4" w:space="0"/>
              <w:bottom w:val="single" w:color="auto" w:sz="4" w:space="0"/>
              <w:right w:val="single" w:color="auto" w:sz="4" w:space="0"/>
            </w:tcBorders>
            <w:shd w:val="clear" w:color="auto" w:fill="F0F0F0"/>
            <w:vAlign w:val="center"/>
          </w:tcPr>
          <w:p w14:paraId="4C45644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90%</w:t>
            </w:r>
          </w:p>
        </w:tc>
        <w:tc>
          <w:tcPr>
            <w:tcW w:w="837" w:type="dxa"/>
            <w:tcBorders>
              <w:top w:val="single" w:color="auto" w:sz="4" w:space="0"/>
              <w:left w:val="single" w:color="auto" w:sz="4" w:space="0"/>
              <w:bottom w:val="single" w:color="auto" w:sz="4" w:space="0"/>
              <w:right w:val="single" w:color="auto" w:sz="4" w:space="0"/>
            </w:tcBorders>
            <w:shd w:val="clear" w:color="auto" w:fill="F0F0F0"/>
            <w:vAlign w:val="center"/>
          </w:tcPr>
          <w:p w14:paraId="1D246AE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75%</w:t>
            </w:r>
          </w:p>
        </w:tc>
        <w:tc>
          <w:tcPr>
            <w:tcW w:w="700" w:type="dxa"/>
            <w:tcBorders>
              <w:top w:val="single" w:color="auto" w:sz="4" w:space="0"/>
              <w:left w:val="single" w:color="auto" w:sz="4" w:space="0"/>
              <w:bottom w:val="single" w:color="auto" w:sz="4" w:space="0"/>
              <w:right w:val="single" w:color="auto" w:sz="4" w:space="0"/>
            </w:tcBorders>
            <w:shd w:val="clear" w:color="auto" w:fill="F0F0F0"/>
            <w:vAlign w:val="center"/>
          </w:tcPr>
          <w:p w14:paraId="192616D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55%</w:t>
            </w:r>
          </w:p>
        </w:tc>
        <w:tc>
          <w:tcPr>
            <w:tcW w:w="1375" w:type="dxa"/>
            <w:tcBorders>
              <w:top w:val="single" w:color="auto" w:sz="4" w:space="0"/>
              <w:left w:val="single" w:color="auto" w:sz="4" w:space="0"/>
              <w:bottom w:val="single" w:color="auto" w:sz="4" w:space="0"/>
              <w:right w:val="single" w:color="auto" w:sz="4" w:space="0"/>
            </w:tcBorders>
            <w:shd w:val="clear" w:color="auto" w:fill="F0F0F0"/>
            <w:vAlign w:val="center"/>
          </w:tcPr>
          <w:p w14:paraId="6546A6F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80%</w:t>
            </w:r>
          </w:p>
        </w:tc>
        <w:tc>
          <w:tcPr>
            <w:tcW w:w="738" w:type="dxa"/>
            <w:tcBorders>
              <w:top w:val="single" w:color="auto" w:sz="4" w:space="0"/>
              <w:left w:val="single" w:color="auto" w:sz="4" w:space="0"/>
              <w:bottom w:val="single" w:color="auto" w:sz="4" w:space="0"/>
              <w:right w:val="single" w:color="auto" w:sz="4" w:space="0"/>
            </w:tcBorders>
            <w:shd w:val="clear" w:color="auto" w:fill="F0F0F0"/>
            <w:vAlign w:val="center"/>
          </w:tcPr>
          <w:p w14:paraId="62805DC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80%</w:t>
            </w:r>
          </w:p>
        </w:tc>
        <w:tc>
          <w:tcPr>
            <w:tcW w:w="825" w:type="dxa"/>
            <w:tcBorders>
              <w:top w:val="single" w:color="auto" w:sz="4" w:space="0"/>
              <w:left w:val="single" w:color="auto" w:sz="4" w:space="0"/>
              <w:bottom w:val="single" w:color="auto" w:sz="4" w:space="0"/>
              <w:right w:val="single" w:color="auto" w:sz="4" w:space="0"/>
            </w:tcBorders>
            <w:shd w:val="clear" w:color="auto" w:fill="F0F0F0"/>
            <w:vAlign w:val="center"/>
          </w:tcPr>
          <w:p w14:paraId="719A3B0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65%</w:t>
            </w:r>
          </w:p>
        </w:tc>
        <w:tc>
          <w:tcPr>
            <w:tcW w:w="762" w:type="dxa"/>
            <w:tcBorders>
              <w:top w:val="single" w:color="auto" w:sz="4" w:space="0"/>
              <w:left w:val="single" w:color="auto" w:sz="4" w:space="0"/>
              <w:bottom w:val="single" w:color="auto" w:sz="4" w:space="0"/>
              <w:right w:val="single" w:color="auto" w:sz="4" w:space="0"/>
            </w:tcBorders>
            <w:shd w:val="clear" w:color="auto" w:fill="F0F0F0"/>
            <w:vAlign w:val="center"/>
          </w:tcPr>
          <w:p w14:paraId="44D8AF4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55%</w:t>
            </w:r>
          </w:p>
        </w:tc>
        <w:tc>
          <w:tcPr>
            <w:tcW w:w="1463" w:type="dxa"/>
            <w:vMerge w:val="continue"/>
            <w:tcBorders>
              <w:top w:val="nil"/>
              <w:left w:val="single" w:color="auto" w:sz="4" w:space="0"/>
              <w:bottom w:val="single" w:color="5A5A5A" w:sz="8" w:space="0"/>
              <w:right w:val="nil"/>
            </w:tcBorders>
            <w:shd w:val="clear" w:color="auto" w:fill="auto"/>
            <w:vAlign w:val="center"/>
          </w:tcPr>
          <w:p w14:paraId="47C80D61">
            <w:pPr>
              <w:jc w:val="center"/>
              <w:rPr>
                <w:rFonts w:hint="eastAsia" w:ascii="仿宋_GB2312" w:hAnsi="宋体" w:eastAsia="仿宋_GB2312" w:cs="仿宋_GB2312"/>
                <w:b/>
                <w:bCs/>
                <w:sz w:val="22"/>
                <w:szCs w:val="22"/>
              </w:rPr>
            </w:pPr>
          </w:p>
        </w:tc>
      </w:tr>
      <w:tr w14:paraId="0C332132">
        <w:tblPrEx>
          <w:tblCellMar>
            <w:top w:w="0" w:type="dxa"/>
            <w:left w:w="108" w:type="dxa"/>
            <w:bottom w:w="0" w:type="dxa"/>
            <w:right w:w="108" w:type="dxa"/>
          </w:tblCellMar>
        </w:tblPrEx>
        <w:trPr>
          <w:trHeight w:val="600" w:hRule="atLeast"/>
        </w:trPr>
        <w:tc>
          <w:tcPr>
            <w:tcW w:w="9875" w:type="dxa"/>
            <w:gridSpan w:val="10"/>
            <w:tcBorders>
              <w:top w:val="nil"/>
              <w:left w:val="nil"/>
              <w:bottom w:val="single" w:color="000000" w:sz="8" w:space="0"/>
              <w:right w:val="nil"/>
            </w:tcBorders>
            <w:shd w:val="clear" w:color="auto" w:fill="auto"/>
            <w:vAlign w:val="center"/>
          </w:tcPr>
          <w:p w14:paraId="47290860">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备注：省域内公立中医院执行一级医疗机构起付标准，低收入人口住院起付线连续计算，学生儿童和大学生二级及以上报销比例提高10个百分点。脑瘫和肿瘤在市域内一年负担一次起付线。20万元限额包括门诊报销费用和住院报销费用。</w:t>
            </w:r>
          </w:p>
        </w:tc>
      </w:tr>
    </w:tbl>
    <w:p w14:paraId="208D383C">
      <w:pPr>
        <w:spacing w:line="540" w:lineRule="exact"/>
        <w:rPr>
          <w:rFonts w:hint="eastAsia" w:ascii="仿宋_GB2312" w:hAnsi="仿宋_GB2312" w:eastAsia="仿宋_GB2312" w:cs="仿宋_GB2312"/>
          <w:b/>
          <w:bCs/>
          <w:sz w:val="32"/>
          <w:szCs w:val="32"/>
        </w:rPr>
      </w:pPr>
    </w:p>
    <w:p w14:paraId="64B30AB2">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问：参加居民医保的生育住院待遇如何保障？</w:t>
      </w:r>
    </w:p>
    <w:p w14:paraId="43AE31A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符合国家计划生育政策的参保城乡居民住院正常分娩，城乡居民医疗保险基金按规定给予定额报销，发生费用低于定额的据实报销。具体标准为：正常产住院分娩1000元，病理性剖腹产2000元，选择性剖腹产参照正常产住院分娩执行1000元标准。</w:t>
      </w:r>
    </w:p>
    <w:p w14:paraId="0CB35EC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已享受职工配偶生育保险生育补助金的，城乡居民医保基金不再补助。 </w:t>
      </w:r>
    </w:p>
    <w:p w14:paraId="58470DD2">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问：门诊慢（特）病的待遇是什么？</w:t>
      </w:r>
    </w:p>
    <w:p w14:paraId="38EA06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答：门诊慢（特）病患者可在门诊慢（特）病定点医药机构享受门诊慢（特）病待遇。</w:t>
      </w:r>
    </w:p>
    <w:p w14:paraId="0515EA09">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城乡居民门诊慢性病起付标准为500元，报销比例为70%。门诊慢性病实行限额管理，每人每年单病种最高支付限额为1500元，参保居民同时患有两种及以上</w:t>
      </w:r>
      <w:bookmarkStart w:id="2" w:name="_GoBack"/>
      <w:bookmarkEnd w:id="2"/>
      <w:r>
        <w:rPr>
          <w:rFonts w:hint="eastAsia" w:ascii="仿宋_GB2312" w:hAnsi="仿宋_GB2312" w:eastAsia="仿宋_GB2312" w:cs="仿宋_GB2312"/>
          <w:sz w:val="32"/>
          <w:szCs w:val="32"/>
        </w:rPr>
        <w:t>门诊慢性病的，每人每年最高支付限额为3000元，其中，门诊慢性病中精神病（原精神系统疾病）起付标准为0元，支付限额为2500元，同时认定有其他门诊慢性病病种的，支付限额为4000元。门诊特殊疾病待遇按照住院标准执行，一年只负担一次起付标准，起付标准按就医最高级别定点医疗机构确定，支付限额为基本医疗保险统筹基金最高支付限额与城乡居民大病保险支付限额之和，在一个医疗保险业务年度内住院和门诊的统筹支付累计计算。</w:t>
      </w:r>
    </w:p>
    <w:p w14:paraId="34C01304">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问：什么情况下城乡居民基本医疗保险不能报销？</w:t>
      </w:r>
    </w:p>
    <w:p w14:paraId="47A65FB0">
      <w:pPr>
        <w:spacing w:line="60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sz w:val="32"/>
          <w:szCs w:val="32"/>
        </w:rPr>
        <w:t>答：</w:t>
      </w:r>
      <w:r>
        <w:rPr>
          <w:rFonts w:hint="eastAsia" w:ascii="仿宋_GB2312" w:hAnsi="Times New Roman" w:eastAsia="仿宋_GB2312" w:cs="Times New Roman"/>
          <w:sz w:val="32"/>
          <w:szCs w:val="32"/>
        </w:rPr>
        <w:t>（一）应当从工伤保险基金中支付的；</w:t>
      </w:r>
    </w:p>
    <w:p w14:paraId="54B1B79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（二）应当由第三人负担的；</w:t>
      </w:r>
    </w:p>
    <w:p w14:paraId="40DD98E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（三）应当由公共卫生负担的；</w:t>
      </w:r>
    </w:p>
    <w:p w14:paraId="103F25A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（四）在境外就医的；</w:t>
      </w:r>
    </w:p>
    <w:p w14:paraId="6194C57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（五）体育健身、养生保健消费、健康体检；</w:t>
      </w:r>
    </w:p>
    <w:p w14:paraId="236971B4">
      <w:pPr>
        <w:spacing w:line="600" w:lineRule="exact"/>
        <w:ind w:firstLine="640" w:firstLineChars="200"/>
        <w:rPr>
          <w:rFonts w:hint="eastAsia" w:ascii="仿宋_GB2312" w:hAnsi="仿宋_GB2312" w:eastAsia="仿宋_GB2312" w:cs="仿宋_GB2312"/>
          <w:bCs/>
          <w:sz w:val="32"/>
          <w:szCs w:val="32"/>
        </w:rPr>
      </w:pPr>
      <w:r>
        <w:rPr>
          <w:rFonts w:hint="eastAsia" w:ascii="仿宋_GB2312" w:hAnsi="Times New Roman" w:eastAsia="仿宋_GB2312" w:cs="Times New Roman"/>
          <w:sz w:val="32"/>
          <w:szCs w:val="32"/>
        </w:rPr>
        <w:t>（六）检查治疗加急费、点名手术附加费、优质优价费以及</w:t>
      </w:r>
      <w:r>
        <w:rPr>
          <w:rFonts w:hint="eastAsia" w:ascii="仿宋_GB2312" w:hAnsi="仿宋_GB2312" w:eastAsia="仿宋_GB2312" w:cs="仿宋_GB2312"/>
          <w:bCs/>
          <w:sz w:val="32"/>
          <w:szCs w:val="32"/>
        </w:rPr>
        <w:t>自请特护等特需医疗服务和特需药品费用；</w:t>
      </w:r>
    </w:p>
    <w:p w14:paraId="1F3BD4B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（七）参保人入住优质优价病房发生的所有医疗费用及特需门诊费用，优质优价病房指医院开设的特诊、特需、国际合作病房（区）、VIP病房（区）、贵宾病房（区）等；</w:t>
      </w:r>
    </w:p>
    <w:p w14:paraId="555B5D05">
      <w:pPr>
        <w:spacing w:line="540" w:lineRule="exact"/>
        <w:ind w:firstLine="640" w:firstLineChars="200"/>
        <w:rPr>
          <w:rFonts w:ascii="仿宋_GB2312" w:hAnsi="Times New Roman" w:eastAsia="仿宋_GB2312" w:cs="Times New Roman"/>
          <w:bCs/>
          <w:sz w:val="32"/>
          <w:szCs w:val="32"/>
          <w:highlight w:val="yellow"/>
        </w:rPr>
      </w:pPr>
      <w:r>
        <w:rPr>
          <w:rFonts w:hint="eastAsia" w:ascii="仿宋_GB2312" w:hAnsi="Times New Roman" w:eastAsia="仿宋_GB2312" w:cs="Times New Roman"/>
          <w:bCs/>
          <w:sz w:val="32"/>
          <w:szCs w:val="32"/>
        </w:rPr>
        <w:t>（八）因非疾病治疗项目发生的全部住院医疗费用，非疾病治疗项目包括：美（整）容、增（减）肥、矫形近视治疗、生理缺陷治疗、戒毒治疗、各种义齿、义眼、义肢及助听器安装（拆除）、胚胎移植、人工授精、不孕不育治疗、各类鉴定、科研性和临床验证性治疗等；</w:t>
      </w:r>
    </w:p>
    <w:p w14:paraId="2D0C77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（九）不符合基本医疗保险药品目录、诊</w:t>
      </w:r>
      <w:r>
        <w:rPr>
          <w:rFonts w:hint="eastAsia" w:ascii="仿宋_GB2312" w:hAnsi="Times New Roman" w:eastAsia="仿宋_GB2312" w:cs="Times New Roman"/>
          <w:sz w:val="32"/>
          <w:szCs w:val="32"/>
        </w:rPr>
        <w:t>疗项目范围、医疗服务设施标准所规定的项目范围的（国家另有规定的除外）；</w:t>
      </w:r>
    </w:p>
    <w:p w14:paraId="523F7587">
      <w:pPr>
        <w:spacing w:line="60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bCs/>
          <w:sz w:val="32"/>
          <w:szCs w:val="32"/>
        </w:rPr>
        <w:t>（十）参保人员在住院期间发生的门诊医疗费用；</w:t>
      </w:r>
    </w:p>
    <w:p w14:paraId="678C8D0A">
      <w:pPr>
        <w:spacing w:line="60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（十一）法律、法规、规章规定的基本医疗保险基金不予支付的其他费用。</w:t>
      </w:r>
      <w:r>
        <w:rPr>
          <w:rFonts w:ascii="仿宋_GB2312" w:hAnsi="仿宋_GB2312" w:eastAsia="仿宋_GB2312" w:cs="仿宋_GB2312"/>
          <w:sz w:val="32"/>
          <w:szCs w:val="32"/>
        </w:rPr>
        <w:t xml:space="preserve"> </w:t>
      </w:r>
    </w:p>
    <w:p w14:paraId="160BA009">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问：城乡居民大病保险的参保范围是什么？</w:t>
      </w:r>
    </w:p>
    <w:p w14:paraId="5707463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答：城乡居民大病保险不需另行缴费，全市范围内参加城乡居民基本医疗保险并按时、足额缴纳城乡居民基本医疗保险费的参保人员均为我市城乡居民大病保险的保障对象。</w:t>
      </w:r>
    </w:p>
    <w:p w14:paraId="4D1DC116">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问：城乡居民大病保险的待遇是什么？</w:t>
      </w:r>
    </w:p>
    <w:p w14:paraId="098554A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一个大病保险年度(同城乡居民基本医疗保险年度)内，参保人员发生的基本医疗保险基金支付范围内的合规费用，经城乡居民基本医疗保险统筹基金结算后，累计超过大病保险起付标准的个人负担的合规医疗费，纳入大病保险支付范围。</w:t>
      </w:r>
    </w:p>
    <w:p w14:paraId="5B0DD84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大病保险年度起付标准为15016元，年度累计最高支付限额为30万元，起付标准以上至10万元（含10万元）的报销60%，10万元以上至15万元（含15万元）的报销70%；15万元以上的报销80%。我市居民医保和大病保险年度最高支付限额合计为50万元，达到居民人均可支配收入的近20倍，远高于国家规定的水平。</w:t>
      </w:r>
    </w:p>
    <w:p w14:paraId="3D2EB917">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问：如连续多年参加城乡居民基本医疗保险，待遇有没有提高？</w:t>
      </w:r>
    </w:p>
    <w:p w14:paraId="447F820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自2025年起，对居民医保连续参保人员和零报销人员提高大病保险待遇。对连续参加居民医保满4年的参保人员，之后每连续参保1年，提高大病保险最高支付限额2000元。对当年基金零报销的居民医保参保人员，次年提高大病保险最高支付限额2000元。连续参保激励和零报销激励，累计提高总额不超过所在统筹地区大病保险原封顶线的20%。居民发生大病报销并使用奖励额度后，前期积累的零报销激励额度清零。断保之后再次参保的，连续参保年数重新计算。前期积累的奖励额度继续保留。</w:t>
      </w:r>
    </w:p>
    <w:p w14:paraId="6AABCB69">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问：如中断参保，是否会影响待遇享受？</w:t>
      </w:r>
    </w:p>
    <w:p w14:paraId="5BA773ED">
      <w:pPr>
        <w:spacing w:line="54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答：自2025年起，对断保人员再参保的，每断保1年降低大病保险最高支付限额2000元，累计降幅总额不超过所在统筹地区大病保险原封顶线的20%。除新生儿等特殊群体外，对未在居民医保集中参保期内参保或未连续参保的人员，设置参保后固定待遇等待期3个月，待遇等待期自参保缴费之日起计算；其中，未连续参保的，每多断保1年，在固定待遇等待期基础上增加变动待遇等待期1个月，参保人员可通过缴费修复变动待遇等待期，每多缴纳1年可减少1个月变动待遇等待期，连续断缴4年及以上的，修复后固定待遇等待期和变动待遇等待期之和不少于6个月。缴费参照当地参保地的个人缴费标准。</w:t>
      </w:r>
    </w:p>
    <w:p w14:paraId="421743CF">
      <w:pPr>
        <w:spacing w:line="560" w:lineRule="exact"/>
        <w:rPr>
          <w:rFonts w:hint="eastAsia" w:ascii="黑体" w:hAnsi="黑体" w:eastAsia="黑体" w:cs="黑体"/>
          <w:sz w:val="32"/>
          <w:szCs w:val="32"/>
        </w:rPr>
      </w:pPr>
    </w:p>
    <w:p w14:paraId="11912795">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异地就医篇</w:t>
      </w:r>
    </w:p>
    <w:p w14:paraId="08A8284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问：异地就医包括哪些？</w:t>
      </w:r>
    </w:p>
    <w:p w14:paraId="361D87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异地就医包括异地住院、异地门诊慢（特）病、异地普通门诊。异地就医需手工报销的，具体流程可详询参保地医保部门。</w:t>
      </w:r>
    </w:p>
    <w:p w14:paraId="25F0A2A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问：异地就医住院如何进行备案，怎样实现直接结算？</w:t>
      </w:r>
    </w:p>
    <w:p w14:paraId="1B9D14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 省内异地就医住院不需要备案，在省内异地联网定点医疗机构刷社保卡或使用电子医保凭证就医可直接结算。</w:t>
      </w:r>
    </w:p>
    <w:p w14:paraId="742DE3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2.京津地区异地就医住院也不需要备案。自2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日起，我市参保人到京津两地看病，不用再办理异地就医备案手续，持医保电子凭证或社会保障卡可以直接结算。</w:t>
      </w:r>
    </w:p>
    <w:p w14:paraId="1F7691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京津以外跨省异地就医住院需进行备案：可通过国家医保服务平台APP、 “河北智慧医保” 微信小程序 或者“保定医保”微信公众号自行办理备案，也可持患者社保卡或身份证到参保地医保经办窗口办理备案。完成备案后在异地联网定点医疗机构刷社保卡或使用医保电子凭证就医可实现直接结算。</w:t>
      </w:r>
    </w:p>
    <w:p w14:paraId="22B554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异地安置退休人员、异地长期居住人员、常驻异地工作人员选择“跨省异地长期居住”，异地转诊人员、异地急诊人员以及其</w:t>
      </w:r>
      <w:r>
        <w:rPr>
          <w:rFonts w:ascii="仿宋_GB2312" w:hAnsi="仿宋_GB2312" w:eastAsia="仿宋_GB2312" w:cs="仿宋_GB2312"/>
          <w:sz w:val="32"/>
          <w:szCs w:val="32"/>
        </w:rPr>
        <w:t>他跨省临时外出就医人员</w:t>
      </w:r>
      <w:r>
        <w:rPr>
          <w:rFonts w:hint="eastAsia" w:ascii="仿宋_GB2312" w:hAnsi="仿宋_GB2312" w:eastAsia="仿宋_GB2312" w:cs="仿宋_GB2312"/>
          <w:sz w:val="32"/>
          <w:szCs w:val="32"/>
        </w:rPr>
        <w:t>选择“跨省临时外出就医”进行备案。</w:t>
      </w:r>
    </w:p>
    <w:p w14:paraId="2166F1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办理跨省临时异地就医有效期为一年，跨省异地长期居住有效期为长期。参保人员办理异地就医备案后，备案有限期内可在就医地多次就诊并享受跨省异地就医直接结算服务。</w:t>
      </w:r>
    </w:p>
    <w:p w14:paraId="05547FCF">
      <w:pPr>
        <w:spacing w:line="560" w:lineRule="exact"/>
        <w:ind w:firstLine="640" w:firstLineChars="200"/>
        <w:rPr>
          <w:rFonts w:hint="eastAsia" w:ascii="黑体" w:hAnsi="黑体" w:eastAsia="黑体" w:cs="黑体"/>
          <w:sz w:val="32"/>
          <w:szCs w:val="32"/>
        </w:rPr>
      </w:pPr>
    </w:p>
    <w:p w14:paraId="15B7D8C1">
      <w:pPr>
        <w:spacing w:line="540" w:lineRule="exact"/>
        <w:jc w:val="center"/>
        <w:rPr>
          <w:rFonts w:hint="eastAsia" w:ascii="仿宋" w:hAnsi="仿宋" w:eastAsia="仿宋" w:cs="仿宋"/>
          <w:kern w:val="0"/>
          <w:sz w:val="31"/>
          <w:szCs w:val="31"/>
          <w:lang w:bidi="ar"/>
        </w:rPr>
      </w:pPr>
    </w:p>
    <w:p w14:paraId="49033290">
      <w:pPr>
        <w:spacing w:line="540" w:lineRule="exact"/>
        <w:jc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医保码（医保电子凭证）篇</w:t>
      </w:r>
    </w:p>
    <w:p w14:paraId="1AB79EF9">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问：医保码（医保电子凭证）是什么？</w:t>
      </w:r>
    </w:p>
    <w:p w14:paraId="115A7613">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问：医保码（医保电子凭证）</w:t>
      </w:r>
      <w:r>
        <w:rPr>
          <w:rFonts w:hint="eastAsia" w:ascii="仿宋_GB2312" w:hAnsi="仿宋_GB2312" w:eastAsia="仿宋_GB2312" w:cs="仿宋_GB2312"/>
          <w:sz w:val="32"/>
          <w:szCs w:val="32"/>
          <w:shd w:val="clear" w:color="auto" w:fill="FFFFFF"/>
        </w:rPr>
        <w:t>由</w:t>
      </w:r>
      <w:r>
        <w:fldChar w:fldCharType="begin"/>
      </w:r>
      <w:r>
        <w:instrText xml:space="preserve"> HYPERLINK "https://baike.baidu.com/item/%E5%9B%BD%E5%AE%B6%E5%8C%BB%E4%BF%9D%E4%BF%A1%E6%81%AF%E5%B9%B3%E5%8F%B0/58312589?fromModule=lemma_inlink"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国家医保信息平台</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统一签发，是基于医保基础</w:t>
      </w:r>
      <w:r>
        <w:fldChar w:fldCharType="begin"/>
      </w:r>
      <w:r>
        <w:instrText xml:space="preserve"> HYPERLINK "https://baike.baidu.com/item/%E4%BF%A1%E6%81%AF%E5%BA%93/6125433?fromModule=lemma_inlink"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信息库</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为全体参保人员生成的医保身份识别电子介质。医保码（医保电子凭证）通过实名/实人认证技术，采用</w:t>
      </w:r>
      <w:r>
        <w:fldChar w:fldCharType="begin"/>
      </w:r>
      <w:r>
        <w:instrText xml:space="preserve"> HYPERLINK "https://baike.baidu.com/item/%E5%8A%A0%E5%AF%86%E7%AE%97%E6%B3%95/2816213?fromModule=lemma_inlink"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加密算法</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形成</w:t>
      </w:r>
      <w:r>
        <w:fldChar w:fldCharType="begin"/>
      </w:r>
      <w:r>
        <w:instrText xml:space="preserve"> HYPERLINK "https://baike.baidu.com/item/%E7%94%B5%E5%AD%90%E6%A0%87%E8%AF%86/6200708?fromModule=lemma_inlink"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电子标识</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，具备安全可靠、认证唯一等重要特点。参保人可通过医保码（医保电子凭证）享受各类在线医疗保障服务，包括医保业务办理、医保账户查询、就医结算等。</w:t>
      </w:r>
    </w:p>
    <w:p w14:paraId="5670728B">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问：如何激活医保码（医保电子凭证）？</w:t>
      </w:r>
    </w:p>
    <w:p w14:paraId="32E72ED1">
      <w:pPr>
        <w:spacing w:line="540" w:lineRule="exact"/>
        <w:ind w:firstLine="640" w:firstLineChars="200"/>
        <w:rPr>
          <w:rFonts w:hint="eastAsia" w:ascii="仿宋" w:hAnsi="仿宋" w:eastAsia="仿宋" w:cs="仿宋"/>
          <w:sz w:val="32"/>
          <w:szCs w:val="32"/>
        </w:rPr>
      </w:pPr>
      <w:r>
        <w:rPr>
          <w:rFonts w:hint="eastAsia" w:ascii="仿宋_GB2312" w:hAnsi="仿宋_GB2312" w:eastAsia="仿宋_GB2312" w:cs="仿宋_GB2312"/>
          <w:kern w:val="0"/>
          <w:sz w:val="32"/>
          <w:szCs w:val="32"/>
        </w:rPr>
        <w:t>答：</w:t>
      </w:r>
      <w:r>
        <w:rPr>
          <w:rFonts w:hint="eastAsia" w:ascii="仿宋" w:hAnsi="仿宋" w:eastAsia="仿宋" w:cs="仿宋"/>
          <w:sz w:val="32"/>
          <w:szCs w:val="32"/>
        </w:rPr>
        <w:t>参保人可通过国家医保服务平台APP、国家政务服务平台APP、微信、支付宝、手机银行客户端等多渠道激活。</w:t>
      </w:r>
    </w:p>
    <w:p w14:paraId="69FBC61D">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问：医保码（医保电子凭证）如何使用？</w:t>
      </w:r>
    </w:p>
    <w:p w14:paraId="7AEC3D98">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拥有了医保码（医保电子凭证），在定点医药机构就医购药时，不用带社保卡，定点医药机构扫描您手机上的医保码（医保电子凭证）即可进行医保结算，医保码（医保电子凭证）还可以实现自助查询、跨省异地就医备案、亲情账户绑定等医保业务功能，以后它的功能还会逐步完善和增加，确保参保群众能够在互联网上高效、安全地享受医疗保障部门的各项公共服务。</w:t>
      </w:r>
    </w:p>
    <w:p w14:paraId="5403E21C">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问：如何查看支持医保码（医保电子凭证）的定点医药机构？</w:t>
      </w:r>
    </w:p>
    <w:p w14:paraId="3406299C">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答：参保人可以在国家医保服务平台APP首页点击查询服务中的【定点医疗机构】【定点零售药店】进行查询。</w:t>
      </w:r>
    </w:p>
    <w:p w14:paraId="6B770C8D">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问：在定点医药机构就医购药扫码支付失败怎么办？</w:t>
      </w:r>
    </w:p>
    <w:p w14:paraId="512976FB">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答：首先确认参保地信息是否正确，医保码（医保电子凭证）界面所示参保地是否为实际参保地。如不一致，点击修改参保地后重试。</w:t>
      </w:r>
    </w:p>
    <w:p w14:paraId="3EC65B78">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问：医保码（医保电子凭证）可以直接在其他省市扫码使用吗？</w:t>
      </w:r>
    </w:p>
    <w:p w14:paraId="5AAFCDBA">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医保码（医保电子凭证）由国家医保信息平台统一生成，标准全国统一，跨区域互认。需要异地就医的话，参保人可以通过微信小程序“河北智慧医保”、国家医保服务平台APP等渠道自行办理异地备案或到参保地医保经办窗口办理异地备案（河北省内、北京、天津无需备案），备案完成后，参保人可使用医保码（医保电子凭证）进行异地就医。</w:t>
      </w:r>
    </w:p>
    <w:p w14:paraId="25744F2F">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问：换了手机号怎么办？可以更改绑定医保码（医保电子凭证）的手机号吗？</w:t>
      </w:r>
    </w:p>
    <w:p w14:paraId="7A0E8627">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答：1.打开国家医保服务平台APP，在【我的】页面点击头像进入【账户信息】页面，点击【手机号】更改绑定手机号。</w:t>
      </w:r>
    </w:p>
    <w:p w14:paraId="1A3D7C55">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2.打开微信，在医保码（医保电子凭证）界面下，点击【医保服务】，找到【个人中心】，点击修改绑定手机号。</w:t>
      </w:r>
    </w:p>
    <w:p w14:paraId="43D78D97">
      <w:pPr>
        <w:spacing w:line="54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问：家庭成员</w:t>
      </w:r>
      <w:r>
        <w:rPr>
          <w:rFonts w:hint="eastAsia" w:ascii="仿宋" w:hAnsi="仿宋" w:eastAsia="仿宋" w:cs="仿宋"/>
          <w:b/>
          <w:bCs/>
          <w:sz w:val="32"/>
          <w:szCs w:val="32"/>
        </w:rPr>
        <w:t>没有智能手机或无法操作智能手机，如何激活医保码（医保电子凭证）？</w:t>
      </w:r>
    </w:p>
    <w:p w14:paraId="3F5FA2FC">
      <w:pPr>
        <w:widowControl/>
        <w:ind w:firstLine="640" w:firstLineChars="200"/>
        <w:jc w:val="left"/>
        <w:rPr>
          <w:rFonts w:hint="eastAsia" w:ascii="仿宋_GB2312" w:hAnsi="仿宋_GB2312" w:eastAsia="仿宋_GB2312" w:cs="仿宋_GB2312"/>
          <w:sz w:val="32"/>
          <w:szCs w:val="32"/>
        </w:rPr>
      </w:pPr>
      <w:r>
        <w:rPr>
          <w:rFonts w:hint="eastAsia" w:ascii="仿宋" w:hAnsi="仿宋" w:eastAsia="仿宋" w:cs="仿宋"/>
          <w:sz w:val="32"/>
          <w:szCs w:val="32"/>
        </w:rPr>
        <w:t>答：参保人可通过国家医保服务平台APP、微信、支付宝的【亲情账户】绑定模块为家庭成员激活医保码（医保电子凭证）。</w:t>
      </w:r>
    </w:p>
    <w:p w14:paraId="52FC822D">
      <w:pPr>
        <w:spacing w:line="560" w:lineRule="exact"/>
        <w:ind w:firstLine="640" w:firstLineChars="200"/>
        <w:jc w:val="center"/>
        <w:rPr>
          <w:rFonts w:hint="eastAsia" w:ascii="黑体" w:hAnsi="黑体" w:eastAsia="黑体" w:cs="黑体"/>
          <w:sz w:val="32"/>
          <w:szCs w:val="32"/>
        </w:rPr>
      </w:pPr>
    </w:p>
    <w:p w14:paraId="3C1AD004">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依法依规参加医保、享受待遇</w:t>
      </w:r>
    </w:p>
    <w:p w14:paraId="6BAAF0DC">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问：参保人使用医保基金哪些不可为？</w:t>
      </w:r>
    </w:p>
    <w:p w14:paraId="17E705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答：1.将本人的医疗保障凭证交由他人冒名使用;</w:t>
      </w:r>
    </w:p>
    <w:p w14:paraId="14D3C0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2.重复享受医疗保障待遇;</w:t>
      </w:r>
    </w:p>
    <w:p w14:paraId="1A92D2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3.利用享受医疗保障待遇的机会转卖药品，接受返还现金、实物或者获得其他非法利益；</w:t>
      </w:r>
    </w:p>
    <w:p w14:paraId="0D9637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4.使用他人医疗保障凭证冒名就医、购药；</w:t>
      </w:r>
    </w:p>
    <w:p w14:paraId="56CECA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5.通过伪造、变造、隐匿、涂改、销毁医学文书、医学证明、会计凭证、电子信息等有关资料或者虚构医药服务项目等方式，骗取医疗保障基金支出。</w:t>
      </w:r>
    </w:p>
    <w:p w14:paraId="5639A493">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问：医保部门对参保人出现上述不可为行为，将会采取什么措施？</w:t>
      </w:r>
    </w:p>
    <w:p w14:paraId="7C6B6C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答：参保人如果违反规定，不仅要退回医保基金损失，还可能被暂停医疗费用联网结算3个月至12个月；故意骗取医保基金支出的还将处骗取金额2倍以上5倍以下罚款，构成犯罪的将依法追究刑事责任。</w:t>
      </w:r>
    </w:p>
    <w:p w14:paraId="402D4C54">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问：医疗保障定点医疗机构容易发生的违法违规行为？</w:t>
      </w:r>
    </w:p>
    <w:p w14:paraId="24D5FB6C">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shd w:val="clear" w:color="auto" w:fill="FFFFFF"/>
        </w:rPr>
        <w:t>1.诱导、协助他人冒名或者虚假就医、购药等套取医保基金；</w:t>
      </w:r>
    </w:p>
    <w:p w14:paraId="401B2DF5">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2.伪造、变造、隐匿、涂改、销毁医学文书、医学证明、会计凭证、电子信息等有关资料；</w:t>
      </w:r>
    </w:p>
    <w:p w14:paraId="6DBEF408">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3.虚构医药服务项目；</w:t>
      </w:r>
    </w:p>
    <w:p w14:paraId="51A4C38D">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4.分解住院、挂床住院；</w:t>
      </w:r>
    </w:p>
    <w:p w14:paraId="38EEE0C0">
      <w:pPr>
        <w:pStyle w:val="6"/>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5.不执行实名就医和购药管理规定，不核验参保人员医疗保障凭证；</w:t>
      </w:r>
    </w:p>
    <w:p w14:paraId="3F30E823">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6.重复收费、超标准收费、分解项目收费；</w:t>
      </w:r>
    </w:p>
    <w:p w14:paraId="52465E01">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7.串换药品、医用耗材、诊疗项目和服务设施；</w:t>
      </w:r>
    </w:p>
    <w:p w14:paraId="70913DA7">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8.将不属于医疗保障基金支付范围的医药费用纳入医疗保障基金结算；</w:t>
      </w:r>
    </w:p>
    <w:p w14:paraId="0EF72216">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9.其他骗取</w:t>
      </w:r>
      <w:r>
        <w:rPr>
          <w:rFonts w:hint="eastAsia" w:ascii="仿宋_GB2312" w:hAnsi="仿宋_GB2312" w:eastAsia="仿宋_GB2312" w:cs="仿宋_GB2312"/>
          <w:sz w:val="32"/>
          <w:szCs w:val="32"/>
        </w:rPr>
        <w:t>医保基金支出</w:t>
      </w:r>
      <w:r>
        <w:rPr>
          <w:rFonts w:hint="eastAsia" w:ascii="仿宋_GB2312" w:hAnsi="仿宋_GB2312" w:eastAsia="仿宋_GB2312" w:cs="仿宋_GB2312"/>
          <w:sz w:val="32"/>
          <w:szCs w:val="32"/>
          <w:shd w:val="clear" w:color="auto" w:fill="FFFFFF"/>
        </w:rPr>
        <w:t>的行为。</w:t>
      </w:r>
    </w:p>
    <w:p w14:paraId="39E3678E">
      <w:pPr>
        <w:spacing w:line="540" w:lineRule="exact"/>
        <w:rPr>
          <w:rFonts w:hint="eastAsia" w:ascii="黑体" w:hAnsi="黑体" w:eastAsia="黑体" w:cs="黑体"/>
          <w:sz w:val="32"/>
          <w:szCs w:val="32"/>
        </w:rPr>
      </w:pPr>
    </w:p>
    <w:p w14:paraId="640889F3">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打击欺诈骗保</w:t>
      </w:r>
    </w:p>
    <w:p w14:paraId="36A1278A">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5F76A110">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（一）分解住院、挂床住院；</w:t>
      </w:r>
    </w:p>
    <w:p w14:paraId="650DCB09">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（二）违反诊疗规范过度诊疗、过度检查、分解处方、超量开药、重复开药或者提供其他不必要的医药服务；</w:t>
      </w:r>
    </w:p>
    <w:p w14:paraId="5D330B82">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（三）重复收费、超标准收费、分解项目收费；</w:t>
      </w:r>
    </w:p>
    <w:p w14:paraId="0A4D6201">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（四）串换药品、医用耗材、诊疗项目和服务设施；</w:t>
      </w:r>
    </w:p>
    <w:p w14:paraId="55B589CB">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（五）为参保人员利用其享受医疗保障待遇的机会转卖药品，接受返还现金、实物或者获得其他非法利益提供便利；</w:t>
      </w:r>
    </w:p>
    <w:p w14:paraId="30740AE3">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（六）将不属于医疗保障基金支付范围的医药费用纳入医疗保障基金结算；</w:t>
      </w:r>
    </w:p>
    <w:p w14:paraId="6ED26DA5">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（七）造成医疗保障基金损失的其他违法行为。</w:t>
      </w:r>
    </w:p>
    <w:p w14:paraId="19C54236">
      <w:pPr>
        <w:spacing w:line="540" w:lineRule="exact"/>
        <w:ind w:firstLine="640" w:firstLineChars="200"/>
        <w:rPr>
          <w:rFonts w:hint="eastAsia" w:ascii="仿宋_GB2312" w:hAnsi="宋体" w:eastAsia="仿宋_GB2312" w:cs="宋体"/>
          <w:kern w:val="0"/>
          <w:sz w:val="32"/>
          <w:szCs w:val="32"/>
        </w:rPr>
      </w:pPr>
    </w:p>
    <w:p w14:paraId="3F89E16B">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14:paraId="27998A82">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（一）诱导、协助他人冒名或者虚假就医、购药，提供虚假证明材料，或者串通他人虚开费用单据；</w:t>
      </w:r>
    </w:p>
    <w:p w14:paraId="48635F63">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（二）伪造、变造、隐匿、涂改、销毁医学文书、医学证明、会计凭证、电子信息等有关资料；</w:t>
      </w:r>
    </w:p>
    <w:p w14:paraId="274F41B7">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（三）虚构医药服务项目；</w:t>
      </w:r>
    </w:p>
    <w:p w14:paraId="2698E0C6">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（四）其他骗取医疗保障基金支出的行为。</w:t>
      </w:r>
    </w:p>
    <w:p w14:paraId="51F3D6DB">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定点医药机构以骗取医疗保障基金为目的，实施了《医疗保障基金使用监督管理条例》第三十八条规定行为之一，造成医疗保障基金损失的，按照本条规定处理。</w:t>
      </w: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7129">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7490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E7490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035E61"/>
    <w:rsid w:val="00007D32"/>
    <w:rsid w:val="00024352"/>
    <w:rsid w:val="00035E61"/>
    <w:rsid w:val="00152E4C"/>
    <w:rsid w:val="001E77E3"/>
    <w:rsid w:val="00302820"/>
    <w:rsid w:val="00317B46"/>
    <w:rsid w:val="00344BF0"/>
    <w:rsid w:val="00382DEE"/>
    <w:rsid w:val="003877B6"/>
    <w:rsid w:val="003A01DF"/>
    <w:rsid w:val="004F20EF"/>
    <w:rsid w:val="00702831"/>
    <w:rsid w:val="008F3430"/>
    <w:rsid w:val="00941305"/>
    <w:rsid w:val="0096186A"/>
    <w:rsid w:val="009971CB"/>
    <w:rsid w:val="009D6D48"/>
    <w:rsid w:val="00A40556"/>
    <w:rsid w:val="00A86781"/>
    <w:rsid w:val="00AB5BEB"/>
    <w:rsid w:val="00B61B8A"/>
    <w:rsid w:val="00BC67D4"/>
    <w:rsid w:val="00BE1725"/>
    <w:rsid w:val="00D24FF0"/>
    <w:rsid w:val="00DF3124"/>
    <w:rsid w:val="00E16FE2"/>
    <w:rsid w:val="00E60817"/>
    <w:rsid w:val="00E84DCC"/>
    <w:rsid w:val="00E93FC3"/>
    <w:rsid w:val="00ED1CCB"/>
    <w:rsid w:val="00FE5448"/>
    <w:rsid w:val="015772A4"/>
    <w:rsid w:val="01E52B01"/>
    <w:rsid w:val="02810A7C"/>
    <w:rsid w:val="02906F11"/>
    <w:rsid w:val="02CE3596"/>
    <w:rsid w:val="02D556FC"/>
    <w:rsid w:val="03060BCB"/>
    <w:rsid w:val="03F359AA"/>
    <w:rsid w:val="03FF5267"/>
    <w:rsid w:val="043F299D"/>
    <w:rsid w:val="05096B07"/>
    <w:rsid w:val="051B7726"/>
    <w:rsid w:val="052B7336"/>
    <w:rsid w:val="055F3E27"/>
    <w:rsid w:val="05C07B0D"/>
    <w:rsid w:val="061816F7"/>
    <w:rsid w:val="068F75AC"/>
    <w:rsid w:val="075D63D6"/>
    <w:rsid w:val="07C92227"/>
    <w:rsid w:val="07CC09EB"/>
    <w:rsid w:val="080466D1"/>
    <w:rsid w:val="08386081"/>
    <w:rsid w:val="088E3280"/>
    <w:rsid w:val="089F7EAE"/>
    <w:rsid w:val="091A7535"/>
    <w:rsid w:val="09361B42"/>
    <w:rsid w:val="09E75075"/>
    <w:rsid w:val="09EC7123"/>
    <w:rsid w:val="09ED2377"/>
    <w:rsid w:val="0B3E0857"/>
    <w:rsid w:val="0C7E78A0"/>
    <w:rsid w:val="0CF87BFC"/>
    <w:rsid w:val="0D230698"/>
    <w:rsid w:val="0DC24D09"/>
    <w:rsid w:val="0DF40CEC"/>
    <w:rsid w:val="0E1704E7"/>
    <w:rsid w:val="0E454C1C"/>
    <w:rsid w:val="0ECC7523"/>
    <w:rsid w:val="0F0A004B"/>
    <w:rsid w:val="0F3550C8"/>
    <w:rsid w:val="0F4672D5"/>
    <w:rsid w:val="0F7F6343"/>
    <w:rsid w:val="10120F66"/>
    <w:rsid w:val="10340142"/>
    <w:rsid w:val="104A4BA3"/>
    <w:rsid w:val="10BA05B4"/>
    <w:rsid w:val="10C83D1A"/>
    <w:rsid w:val="10CE27F7"/>
    <w:rsid w:val="116B3023"/>
    <w:rsid w:val="11AC53EA"/>
    <w:rsid w:val="11E24717"/>
    <w:rsid w:val="128F2D41"/>
    <w:rsid w:val="1379754E"/>
    <w:rsid w:val="16AB2114"/>
    <w:rsid w:val="17742506"/>
    <w:rsid w:val="17CF1E32"/>
    <w:rsid w:val="18221F62"/>
    <w:rsid w:val="18736C61"/>
    <w:rsid w:val="187D188E"/>
    <w:rsid w:val="18EB4A4A"/>
    <w:rsid w:val="18FC0BB5"/>
    <w:rsid w:val="19353F17"/>
    <w:rsid w:val="19801636"/>
    <w:rsid w:val="199155F1"/>
    <w:rsid w:val="1A8E38DF"/>
    <w:rsid w:val="1AA650CC"/>
    <w:rsid w:val="1AB23A71"/>
    <w:rsid w:val="1ABA3361"/>
    <w:rsid w:val="1B302BE8"/>
    <w:rsid w:val="1B446693"/>
    <w:rsid w:val="1B5C1C2F"/>
    <w:rsid w:val="1BDB0DA5"/>
    <w:rsid w:val="1C956680"/>
    <w:rsid w:val="1CA67605"/>
    <w:rsid w:val="1CB062DD"/>
    <w:rsid w:val="1D061E52"/>
    <w:rsid w:val="1DAF24EA"/>
    <w:rsid w:val="1DBE272D"/>
    <w:rsid w:val="1DC1221D"/>
    <w:rsid w:val="1DC615E1"/>
    <w:rsid w:val="1F016D75"/>
    <w:rsid w:val="1F757152"/>
    <w:rsid w:val="1F813A12"/>
    <w:rsid w:val="1FAB4F33"/>
    <w:rsid w:val="1FD47FE6"/>
    <w:rsid w:val="1FEF3071"/>
    <w:rsid w:val="207E43F5"/>
    <w:rsid w:val="20E91F3E"/>
    <w:rsid w:val="21B856E5"/>
    <w:rsid w:val="222A65E3"/>
    <w:rsid w:val="223B07F0"/>
    <w:rsid w:val="226D64CF"/>
    <w:rsid w:val="22791318"/>
    <w:rsid w:val="229E2B2D"/>
    <w:rsid w:val="22AD338B"/>
    <w:rsid w:val="22AD4B1E"/>
    <w:rsid w:val="22F117B5"/>
    <w:rsid w:val="23176288"/>
    <w:rsid w:val="235F22BC"/>
    <w:rsid w:val="23C10953"/>
    <w:rsid w:val="244E583B"/>
    <w:rsid w:val="262A4E03"/>
    <w:rsid w:val="265E685B"/>
    <w:rsid w:val="26BF5AB3"/>
    <w:rsid w:val="26CF3B03"/>
    <w:rsid w:val="274837EC"/>
    <w:rsid w:val="27621DD5"/>
    <w:rsid w:val="27873B8F"/>
    <w:rsid w:val="27C2106B"/>
    <w:rsid w:val="28101DD7"/>
    <w:rsid w:val="28E6363A"/>
    <w:rsid w:val="295E5B46"/>
    <w:rsid w:val="29777600"/>
    <w:rsid w:val="29D343B5"/>
    <w:rsid w:val="2A0911D4"/>
    <w:rsid w:val="2A32072A"/>
    <w:rsid w:val="2AD33271"/>
    <w:rsid w:val="2AD74E2E"/>
    <w:rsid w:val="2B4C5E02"/>
    <w:rsid w:val="2B51698E"/>
    <w:rsid w:val="2BCD4D8F"/>
    <w:rsid w:val="2C444745"/>
    <w:rsid w:val="2C5F3AE7"/>
    <w:rsid w:val="2CA927FA"/>
    <w:rsid w:val="2CC87124"/>
    <w:rsid w:val="2D1E06EB"/>
    <w:rsid w:val="2D8620D1"/>
    <w:rsid w:val="2DAC25A2"/>
    <w:rsid w:val="2E2A1718"/>
    <w:rsid w:val="2F1C5505"/>
    <w:rsid w:val="2F4800A8"/>
    <w:rsid w:val="2F7377FA"/>
    <w:rsid w:val="2F94153F"/>
    <w:rsid w:val="2FB01F4D"/>
    <w:rsid w:val="3075311F"/>
    <w:rsid w:val="31282864"/>
    <w:rsid w:val="31A31F0E"/>
    <w:rsid w:val="31C3610C"/>
    <w:rsid w:val="322A618B"/>
    <w:rsid w:val="323E3027"/>
    <w:rsid w:val="329F4483"/>
    <w:rsid w:val="32D83270"/>
    <w:rsid w:val="332826CA"/>
    <w:rsid w:val="33354DE7"/>
    <w:rsid w:val="3343038E"/>
    <w:rsid w:val="34C32EF2"/>
    <w:rsid w:val="34E940DB"/>
    <w:rsid w:val="34EE67C5"/>
    <w:rsid w:val="35731682"/>
    <w:rsid w:val="35F25212"/>
    <w:rsid w:val="36687282"/>
    <w:rsid w:val="36A56F25"/>
    <w:rsid w:val="36B50719"/>
    <w:rsid w:val="36D466C5"/>
    <w:rsid w:val="37A91900"/>
    <w:rsid w:val="383733B0"/>
    <w:rsid w:val="38543F62"/>
    <w:rsid w:val="389E51DD"/>
    <w:rsid w:val="39C40C73"/>
    <w:rsid w:val="3A2B3150"/>
    <w:rsid w:val="3A971EE4"/>
    <w:rsid w:val="3AC41238"/>
    <w:rsid w:val="3C834E15"/>
    <w:rsid w:val="3DAB32A4"/>
    <w:rsid w:val="3E1E266B"/>
    <w:rsid w:val="401863D2"/>
    <w:rsid w:val="406E27D1"/>
    <w:rsid w:val="40EE0234"/>
    <w:rsid w:val="41036525"/>
    <w:rsid w:val="42291FBB"/>
    <w:rsid w:val="42E87780"/>
    <w:rsid w:val="42FF4201"/>
    <w:rsid w:val="431467C7"/>
    <w:rsid w:val="438576C5"/>
    <w:rsid w:val="440E3217"/>
    <w:rsid w:val="4467501D"/>
    <w:rsid w:val="44F248E6"/>
    <w:rsid w:val="45012D7B"/>
    <w:rsid w:val="457F0CDB"/>
    <w:rsid w:val="45863281"/>
    <w:rsid w:val="45F25190"/>
    <w:rsid w:val="463E3B5B"/>
    <w:rsid w:val="469C5E55"/>
    <w:rsid w:val="46C027C2"/>
    <w:rsid w:val="46DB30D4"/>
    <w:rsid w:val="47017063"/>
    <w:rsid w:val="47174AD8"/>
    <w:rsid w:val="47190850"/>
    <w:rsid w:val="472114B3"/>
    <w:rsid w:val="47723ABC"/>
    <w:rsid w:val="477534BF"/>
    <w:rsid w:val="477F61D9"/>
    <w:rsid w:val="48C7608A"/>
    <w:rsid w:val="499441BE"/>
    <w:rsid w:val="49C2281B"/>
    <w:rsid w:val="4A34774F"/>
    <w:rsid w:val="4A4D0811"/>
    <w:rsid w:val="4C0373D9"/>
    <w:rsid w:val="4C0F5D7E"/>
    <w:rsid w:val="4C59524B"/>
    <w:rsid w:val="4E2D698F"/>
    <w:rsid w:val="4E2E44B5"/>
    <w:rsid w:val="4F2C30EB"/>
    <w:rsid w:val="4F905428"/>
    <w:rsid w:val="4FD81D51"/>
    <w:rsid w:val="5039282F"/>
    <w:rsid w:val="51DA6E2E"/>
    <w:rsid w:val="529D3D0E"/>
    <w:rsid w:val="53516EB6"/>
    <w:rsid w:val="53AD73B0"/>
    <w:rsid w:val="53B12378"/>
    <w:rsid w:val="53DF0DAF"/>
    <w:rsid w:val="53FA5565"/>
    <w:rsid w:val="548337AD"/>
    <w:rsid w:val="548D0188"/>
    <w:rsid w:val="54C94F38"/>
    <w:rsid w:val="553E5926"/>
    <w:rsid w:val="55D67312"/>
    <w:rsid w:val="56815ACA"/>
    <w:rsid w:val="56B7773E"/>
    <w:rsid w:val="56B863E6"/>
    <w:rsid w:val="5748116E"/>
    <w:rsid w:val="57B15A98"/>
    <w:rsid w:val="57C9597B"/>
    <w:rsid w:val="580544D9"/>
    <w:rsid w:val="585F008D"/>
    <w:rsid w:val="58831FCD"/>
    <w:rsid w:val="58B53B02"/>
    <w:rsid w:val="599402FB"/>
    <w:rsid w:val="59E545C2"/>
    <w:rsid w:val="5A2935DA"/>
    <w:rsid w:val="5A4433DF"/>
    <w:rsid w:val="5AB3646E"/>
    <w:rsid w:val="5B215ACE"/>
    <w:rsid w:val="5B37709F"/>
    <w:rsid w:val="5C245875"/>
    <w:rsid w:val="5C6C4B26"/>
    <w:rsid w:val="5CDF354A"/>
    <w:rsid w:val="5D96528E"/>
    <w:rsid w:val="5E5D0B6A"/>
    <w:rsid w:val="5F6030FF"/>
    <w:rsid w:val="5FD255E8"/>
    <w:rsid w:val="6098238E"/>
    <w:rsid w:val="60B44CEE"/>
    <w:rsid w:val="60CC028A"/>
    <w:rsid w:val="60F472C3"/>
    <w:rsid w:val="63350368"/>
    <w:rsid w:val="63B15515"/>
    <w:rsid w:val="63DA69DE"/>
    <w:rsid w:val="64265F03"/>
    <w:rsid w:val="64373C6C"/>
    <w:rsid w:val="64A21A2D"/>
    <w:rsid w:val="64CA2D32"/>
    <w:rsid w:val="658D459A"/>
    <w:rsid w:val="66832300"/>
    <w:rsid w:val="66833198"/>
    <w:rsid w:val="680E73DA"/>
    <w:rsid w:val="6828049B"/>
    <w:rsid w:val="68442DFB"/>
    <w:rsid w:val="685F7C35"/>
    <w:rsid w:val="689618A9"/>
    <w:rsid w:val="68AD274F"/>
    <w:rsid w:val="68B42095"/>
    <w:rsid w:val="691B3B5C"/>
    <w:rsid w:val="692136C4"/>
    <w:rsid w:val="6BF012D0"/>
    <w:rsid w:val="6C153260"/>
    <w:rsid w:val="6C3C4515"/>
    <w:rsid w:val="6C404D12"/>
    <w:rsid w:val="6C846928"/>
    <w:rsid w:val="6CB06CB1"/>
    <w:rsid w:val="6D260740"/>
    <w:rsid w:val="6D9B34BE"/>
    <w:rsid w:val="6E2B6699"/>
    <w:rsid w:val="6F765F90"/>
    <w:rsid w:val="6FD9207B"/>
    <w:rsid w:val="700A492A"/>
    <w:rsid w:val="70651B61"/>
    <w:rsid w:val="70DD412F"/>
    <w:rsid w:val="713C6D66"/>
    <w:rsid w:val="71C034F3"/>
    <w:rsid w:val="71EC42E8"/>
    <w:rsid w:val="72196EBD"/>
    <w:rsid w:val="72485290"/>
    <w:rsid w:val="72693B8A"/>
    <w:rsid w:val="72C62D8B"/>
    <w:rsid w:val="7338355D"/>
    <w:rsid w:val="73521576"/>
    <w:rsid w:val="73AF1A71"/>
    <w:rsid w:val="73CF3EC1"/>
    <w:rsid w:val="745D14CD"/>
    <w:rsid w:val="746E5488"/>
    <w:rsid w:val="74716950"/>
    <w:rsid w:val="7541137D"/>
    <w:rsid w:val="75EC246C"/>
    <w:rsid w:val="76A07D97"/>
    <w:rsid w:val="76F61765"/>
    <w:rsid w:val="7785787E"/>
    <w:rsid w:val="77862AE9"/>
    <w:rsid w:val="78C807D6"/>
    <w:rsid w:val="790F43FB"/>
    <w:rsid w:val="791A3E30"/>
    <w:rsid w:val="79420C91"/>
    <w:rsid w:val="7A5756C4"/>
    <w:rsid w:val="7AEC71C0"/>
    <w:rsid w:val="7B2E5971"/>
    <w:rsid w:val="7B537186"/>
    <w:rsid w:val="7B8E4662"/>
    <w:rsid w:val="7BBF481B"/>
    <w:rsid w:val="7C291AB3"/>
    <w:rsid w:val="7C7F1785"/>
    <w:rsid w:val="7CA81753"/>
    <w:rsid w:val="7CFC55FB"/>
    <w:rsid w:val="7D581ACB"/>
    <w:rsid w:val="7E4159BB"/>
    <w:rsid w:val="7E867872"/>
    <w:rsid w:val="7EAA45DE"/>
    <w:rsid w:val="7EAD4DFF"/>
    <w:rsid w:val="7F141322"/>
    <w:rsid w:val="7F4F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link w:val="14"/>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link w:val="15"/>
    <w:unhideWhenUsed/>
    <w:qFormat/>
    <w:uiPriority w:val="99"/>
    <w:pPr>
      <w:spacing w:after="0"/>
      <w:ind w:left="0" w:leftChars="0" w:firstLine="420" w:firstLineChars="200"/>
    </w:pPr>
    <w:rPr>
      <w:rFonts w:ascii="Times New Roman" w:hAnsi="Times New Roman" w:eastAsia="宋体" w:cs="Times New Roman"/>
      <w:kern w:val="0"/>
      <w:sz w:val="20"/>
      <w:szCs w:val="21"/>
    </w:rPr>
  </w:style>
  <w:style w:type="character" w:styleId="9">
    <w:name w:val="Hyperlink"/>
    <w:basedOn w:val="8"/>
    <w:qFormat/>
    <w:uiPriority w:val="0"/>
    <w:rPr>
      <w:color w:val="0000FF"/>
      <w:u w:val="single"/>
    </w:rPr>
  </w:style>
  <w:style w:type="character" w:customStyle="1" w:styleId="10">
    <w:name w:val="font61"/>
    <w:qFormat/>
    <w:uiPriority w:val="0"/>
    <w:rPr>
      <w:rFonts w:hint="default" w:ascii="Times New Roman" w:hAnsi="Times New Roman" w:cs="Times New Roman"/>
      <w:color w:val="000000"/>
      <w:sz w:val="24"/>
      <w:szCs w:val="24"/>
      <w:u w:val="none"/>
    </w:rPr>
  </w:style>
  <w:style w:type="character" w:customStyle="1" w:styleId="11">
    <w:name w:val="font11"/>
    <w:qFormat/>
    <w:uiPriority w:val="0"/>
    <w:rPr>
      <w:rFonts w:hint="eastAsia" w:ascii="宋体" w:hAnsi="宋体" w:eastAsia="宋体" w:cs="宋体"/>
      <w:color w:val="000000"/>
      <w:sz w:val="24"/>
      <w:szCs w:val="24"/>
      <w:u w:val="none"/>
    </w:rPr>
  </w:style>
  <w:style w:type="character" w:customStyle="1" w:styleId="12">
    <w:name w:val="font21"/>
    <w:qFormat/>
    <w:uiPriority w:val="0"/>
    <w:rPr>
      <w:rFonts w:hint="default" w:ascii="Times New Roman" w:hAnsi="Times New Roman" w:cs="Times New Roman"/>
      <w:color w:val="000000"/>
      <w:sz w:val="24"/>
      <w:szCs w:val="24"/>
      <w:u w:val="none"/>
    </w:rPr>
  </w:style>
  <w:style w:type="character" w:customStyle="1" w:styleId="13">
    <w:name w:val="font91"/>
    <w:qFormat/>
    <w:uiPriority w:val="0"/>
    <w:rPr>
      <w:rFonts w:hint="eastAsia" w:ascii="宋体" w:hAnsi="宋体" w:eastAsia="宋体" w:cs="宋体"/>
      <w:color w:val="000000"/>
      <w:sz w:val="24"/>
      <w:szCs w:val="24"/>
      <w:u w:val="none"/>
    </w:rPr>
  </w:style>
  <w:style w:type="character" w:customStyle="1" w:styleId="14">
    <w:name w:val="正文文本缩进 字符"/>
    <w:basedOn w:val="8"/>
    <w:link w:val="3"/>
    <w:qFormat/>
    <w:uiPriority w:val="0"/>
    <w:rPr>
      <w:rFonts w:asciiTheme="minorHAnsi" w:hAnsiTheme="minorHAnsi" w:eastAsiaTheme="minorEastAsia" w:cstheme="minorBidi"/>
      <w:kern w:val="2"/>
      <w:sz w:val="21"/>
      <w:szCs w:val="24"/>
    </w:rPr>
  </w:style>
  <w:style w:type="character" w:customStyle="1" w:styleId="15">
    <w:name w:val="正文文本首行缩进 2 字符"/>
    <w:basedOn w:val="14"/>
    <w:link w:val="6"/>
    <w:qFormat/>
    <w:uiPriority w:val="99"/>
    <w:rPr>
      <w:rFonts w:asciiTheme="minorHAnsi" w:hAnsiTheme="minorHAnsi" w:eastAsiaTheme="minorEastAsia" w:cstheme="minorBid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2044</Words>
  <Characters>2087</Characters>
  <Lines>69</Lines>
  <Paragraphs>19</Paragraphs>
  <TotalTime>6</TotalTime>
  <ScaleCrop>false</ScaleCrop>
  <LinksUpToDate>false</LinksUpToDate>
  <CharactersWithSpaces>2087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2021-10-11T00:45:00Z</dcterms:created>
  <dc:creator>Administrator</dc:creator>
  <cp:lastModifiedBy>郝思含</cp:lastModifiedBy>
  <cp:lastPrinted>2022-05-16T06:00:00Z</cp:lastPrinted>
  <dcterms:modified xsi:type="dcterms:W3CDTF">2025-03-06T09:13:40Z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E8CA49840D4A453AA85235136EA8341E_13</vt:lpwstr>
  </property>
  <property fmtid="{D5CDD505-2E9C-101B-9397-08002B2CF9AE}" pid="4" name="commondata">
    <vt:lpwstr>eyJoZGlkIjoiNWFlZTFjYWJhMDcyZjQ0NTc4YjFiNzUzYjVlNjg2ZWYifQ==</vt:lpwstr>
  </property>
  <property fmtid="{D5CDD505-2E9C-101B-9397-08002B2CF9AE}" pid="5" name="KSOTemplateDocerSaveRecord">
    <vt:lpwstr>eyJoZGlkIjoiNDM5MTZmYTgyZjAxMDQ0M2EyNzc0ZTBmNWQ2YzIyMzkiLCJ1c2VySWQiOiIxNjgyODk4OTk2In0=</vt:lpwstr>
  </property>
</Properties>
</file>