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434高阳县人民政府办公室</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1591.22</w:t>
            </w:r>
          </w:p>
        </w:tc>
        <w:tc>
          <w:tcPr>
            <w:tcW w:w="4535" w:type="dxa"/>
            <w:vAlign w:val="center"/>
          </w:tcPr>
          <w:p>
            <w:pPr>
              <w:pStyle w:val="13"/>
            </w:pPr>
            <w:r>
              <w:t>一、一般公共服务支出</w:t>
            </w:r>
          </w:p>
        </w:tc>
        <w:tc>
          <w:tcPr>
            <w:tcW w:w="2126" w:type="dxa"/>
            <w:vAlign w:val="center"/>
          </w:tcPr>
          <w:p>
            <w:pPr>
              <w:pStyle w:val="12"/>
            </w:pPr>
            <w:r>
              <w:t>1462.69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1591.22</w:t>
            </w:r>
          </w:p>
        </w:tc>
        <w:tc>
          <w:tcPr>
            <w:tcW w:w="4535" w:type="dxa"/>
            <w:vAlign w:val="center"/>
          </w:tcPr>
          <w:p>
            <w:pPr>
              <w:pStyle w:val="15"/>
            </w:pPr>
            <w:r>
              <w:t>本年支出合计</w:t>
            </w:r>
          </w:p>
        </w:tc>
        <w:tc>
          <w:tcPr>
            <w:tcW w:w="2126" w:type="dxa"/>
            <w:vAlign w:val="center"/>
          </w:tcPr>
          <w:p>
            <w:pPr>
              <w:pStyle w:val="16"/>
            </w:pPr>
            <w:r>
              <w:t>1591.22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1591.22</w:t>
            </w:r>
          </w:p>
        </w:tc>
        <w:tc>
          <w:tcPr>
            <w:tcW w:w="4535" w:type="dxa"/>
            <w:vAlign w:val="center"/>
          </w:tcPr>
          <w:p>
            <w:pPr>
              <w:pStyle w:val="15"/>
            </w:pPr>
            <w:r>
              <w:t>支出总计</w:t>
            </w:r>
          </w:p>
        </w:tc>
        <w:tc>
          <w:tcPr>
            <w:tcW w:w="2126" w:type="dxa"/>
            <w:vAlign w:val="center"/>
          </w:tcPr>
          <w:p>
            <w:pPr>
              <w:pStyle w:val="16"/>
            </w:pPr>
            <w:r>
              <w:t>1591.22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434高阳县人民政府办公室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1591.22</w:t>
            </w:r>
          </w:p>
        </w:tc>
        <w:tc>
          <w:tcPr>
            <w:tcW w:w="1134" w:type="dxa"/>
            <w:vAlign w:val="center"/>
          </w:tcPr>
          <w:p>
            <w:pPr>
              <w:pStyle w:val="16"/>
            </w:pPr>
            <w:r>
              <w:t>1591.22</w:t>
            </w:r>
          </w:p>
        </w:tc>
        <w:tc>
          <w:tcPr>
            <w:tcW w:w="1134" w:type="dxa"/>
            <w:vAlign w:val="center"/>
          </w:tcPr>
          <w:p>
            <w:pPr>
              <w:pStyle w:val="16"/>
            </w:pPr>
            <w:r>
              <w:t>1591.22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1462.69</w:t>
            </w:r>
          </w:p>
        </w:tc>
        <w:tc>
          <w:tcPr>
            <w:tcW w:w="1134" w:type="dxa"/>
            <w:vAlign w:val="center"/>
          </w:tcPr>
          <w:p>
            <w:pPr>
              <w:pStyle w:val="12"/>
            </w:pPr>
            <w:r>
              <w:t>1462.69</w:t>
            </w:r>
          </w:p>
        </w:tc>
        <w:tc>
          <w:tcPr>
            <w:tcW w:w="1134" w:type="dxa"/>
            <w:vAlign w:val="center"/>
          </w:tcPr>
          <w:p>
            <w:pPr>
              <w:pStyle w:val="12"/>
            </w:pPr>
            <w:r>
              <w:t>1462.69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1462.69</w:t>
            </w:r>
          </w:p>
        </w:tc>
        <w:tc>
          <w:tcPr>
            <w:tcW w:w="1134" w:type="dxa"/>
            <w:vAlign w:val="center"/>
          </w:tcPr>
          <w:p>
            <w:pPr>
              <w:pStyle w:val="12"/>
            </w:pPr>
            <w:r>
              <w:t>1462.69</w:t>
            </w:r>
          </w:p>
        </w:tc>
        <w:tc>
          <w:tcPr>
            <w:tcW w:w="1134" w:type="dxa"/>
            <w:vAlign w:val="center"/>
          </w:tcPr>
          <w:p>
            <w:pPr>
              <w:pStyle w:val="12"/>
            </w:pPr>
            <w:r>
              <w:t>1462.69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796.55</w:t>
            </w:r>
          </w:p>
        </w:tc>
        <w:tc>
          <w:tcPr>
            <w:tcW w:w="1134" w:type="dxa"/>
            <w:vAlign w:val="center"/>
          </w:tcPr>
          <w:p>
            <w:pPr>
              <w:pStyle w:val="12"/>
            </w:pPr>
            <w:r>
              <w:t>796.55</w:t>
            </w:r>
          </w:p>
        </w:tc>
        <w:tc>
          <w:tcPr>
            <w:tcW w:w="1134" w:type="dxa"/>
            <w:vAlign w:val="center"/>
          </w:tcPr>
          <w:p>
            <w:pPr>
              <w:pStyle w:val="12"/>
            </w:pPr>
            <w:r>
              <w:t>796.55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526.14</w:t>
            </w:r>
          </w:p>
        </w:tc>
        <w:tc>
          <w:tcPr>
            <w:tcW w:w="1134" w:type="dxa"/>
            <w:vAlign w:val="center"/>
          </w:tcPr>
          <w:p>
            <w:pPr>
              <w:pStyle w:val="12"/>
            </w:pPr>
            <w:r>
              <w:t>526.14</w:t>
            </w:r>
          </w:p>
        </w:tc>
        <w:tc>
          <w:tcPr>
            <w:tcW w:w="1134" w:type="dxa"/>
            <w:vAlign w:val="center"/>
          </w:tcPr>
          <w:p>
            <w:pPr>
              <w:pStyle w:val="12"/>
            </w:pPr>
            <w:r>
              <w:t>526.14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140.00</w:t>
            </w:r>
          </w:p>
        </w:tc>
        <w:tc>
          <w:tcPr>
            <w:tcW w:w="1134" w:type="dxa"/>
            <w:vAlign w:val="center"/>
          </w:tcPr>
          <w:p>
            <w:pPr>
              <w:pStyle w:val="12"/>
            </w:pPr>
            <w:r>
              <w:t>140.00</w:t>
            </w:r>
          </w:p>
        </w:tc>
        <w:tc>
          <w:tcPr>
            <w:tcW w:w="1134" w:type="dxa"/>
            <w:vAlign w:val="center"/>
          </w:tcPr>
          <w:p>
            <w:pPr>
              <w:pStyle w:val="12"/>
            </w:pPr>
            <w:r>
              <w:t>140.00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78.03</w:t>
            </w:r>
          </w:p>
        </w:tc>
        <w:tc>
          <w:tcPr>
            <w:tcW w:w="1134" w:type="dxa"/>
            <w:vAlign w:val="center"/>
          </w:tcPr>
          <w:p>
            <w:pPr>
              <w:pStyle w:val="12"/>
            </w:pPr>
            <w:r>
              <w:t>78.03</w:t>
            </w:r>
          </w:p>
        </w:tc>
        <w:tc>
          <w:tcPr>
            <w:tcW w:w="1134" w:type="dxa"/>
            <w:vAlign w:val="center"/>
          </w:tcPr>
          <w:p>
            <w:pPr>
              <w:pStyle w:val="12"/>
            </w:pPr>
            <w:r>
              <w:t>78.03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69.87</w:t>
            </w:r>
          </w:p>
        </w:tc>
        <w:tc>
          <w:tcPr>
            <w:tcW w:w="1134" w:type="dxa"/>
            <w:vAlign w:val="center"/>
          </w:tcPr>
          <w:p>
            <w:pPr>
              <w:pStyle w:val="12"/>
            </w:pPr>
            <w:r>
              <w:t>69.87</w:t>
            </w:r>
          </w:p>
        </w:tc>
        <w:tc>
          <w:tcPr>
            <w:tcW w:w="1134" w:type="dxa"/>
            <w:vAlign w:val="center"/>
          </w:tcPr>
          <w:p>
            <w:pPr>
              <w:pStyle w:val="12"/>
            </w:pPr>
            <w:r>
              <w:t>69.87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47.61</w:t>
            </w:r>
          </w:p>
        </w:tc>
        <w:tc>
          <w:tcPr>
            <w:tcW w:w="1134" w:type="dxa"/>
            <w:vAlign w:val="center"/>
          </w:tcPr>
          <w:p>
            <w:pPr>
              <w:pStyle w:val="12"/>
            </w:pPr>
            <w:r>
              <w:t>47.61</w:t>
            </w:r>
          </w:p>
        </w:tc>
        <w:tc>
          <w:tcPr>
            <w:tcW w:w="1134" w:type="dxa"/>
            <w:vAlign w:val="center"/>
          </w:tcPr>
          <w:p>
            <w:pPr>
              <w:pStyle w:val="12"/>
            </w:pPr>
            <w:r>
              <w:t>47.61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19.40</w:t>
            </w:r>
          </w:p>
        </w:tc>
        <w:tc>
          <w:tcPr>
            <w:tcW w:w="1134" w:type="dxa"/>
            <w:vAlign w:val="center"/>
          </w:tcPr>
          <w:p>
            <w:pPr>
              <w:pStyle w:val="12"/>
            </w:pPr>
            <w:r>
              <w:t>19.40</w:t>
            </w:r>
          </w:p>
        </w:tc>
        <w:tc>
          <w:tcPr>
            <w:tcW w:w="1134" w:type="dxa"/>
            <w:vAlign w:val="center"/>
          </w:tcPr>
          <w:p>
            <w:pPr>
              <w:pStyle w:val="12"/>
            </w:pPr>
            <w:r>
              <w:t>19.40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19.40</w:t>
            </w:r>
          </w:p>
        </w:tc>
        <w:tc>
          <w:tcPr>
            <w:tcW w:w="1134" w:type="dxa"/>
            <w:vAlign w:val="center"/>
          </w:tcPr>
          <w:p>
            <w:pPr>
              <w:pStyle w:val="12"/>
            </w:pPr>
            <w:r>
              <w:t>19.40</w:t>
            </w:r>
          </w:p>
        </w:tc>
        <w:tc>
          <w:tcPr>
            <w:tcW w:w="1134" w:type="dxa"/>
            <w:vAlign w:val="center"/>
          </w:tcPr>
          <w:p>
            <w:pPr>
              <w:pStyle w:val="12"/>
            </w:pPr>
            <w:r>
              <w:t>19.40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19.40</w:t>
            </w:r>
          </w:p>
        </w:tc>
        <w:tc>
          <w:tcPr>
            <w:tcW w:w="1134" w:type="dxa"/>
            <w:vAlign w:val="center"/>
          </w:tcPr>
          <w:p>
            <w:pPr>
              <w:pStyle w:val="12"/>
            </w:pPr>
            <w:r>
              <w:t>19.40</w:t>
            </w:r>
          </w:p>
        </w:tc>
        <w:tc>
          <w:tcPr>
            <w:tcW w:w="1134" w:type="dxa"/>
            <w:vAlign w:val="center"/>
          </w:tcPr>
          <w:p>
            <w:pPr>
              <w:pStyle w:val="12"/>
            </w:pPr>
            <w:r>
              <w:t>19.40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31.10</w:t>
            </w:r>
          </w:p>
        </w:tc>
        <w:tc>
          <w:tcPr>
            <w:tcW w:w="1134" w:type="dxa"/>
            <w:vAlign w:val="center"/>
          </w:tcPr>
          <w:p>
            <w:pPr>
              <w:pStyle w:val="12"/>
            </w:pPr>
            <w:r>
              <w:t>31.10</w:t>
            </w:r>
          </w:p>
        </w:tc>
        <w:tc>
          <w:tcPr>
            <w:tcW w:w="1134" w:type="dxa"/>
            <w:vAlign w:val="center"/>
          </w:tcPr>
          <w:p>
            <w:pPr>
              <w:pStyle w:val="12"/>
            </w:pPr>
            <w:r>
              <w:t>31.10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31.10</w:t>
            </w:r>
          </w:p>
        </w:tc>
        <w:tc>
          <w:tcPr>
            <w:tcW w:w="1134" w:type="dxa"/>
            <w:vAlign w:val="center"/>
          </w:tcPr>
          <w:p>
            <w:pPr>
              <w:pStyle w:val="12"/>
            </w:pPr>
            <w:r>
              <w:t>31.10</w:t>
            </w:r>
          </w:p>
        </w:tc>
        <w:tc>
          <w:tcPr>
            <w:tcW w:w="1134" w:type="dxa"/>
            <w:vAlign w:val="center"/>
          </w:tcPr>
          <w:p>
            <w:pPr>
              <w:pStyle w:val="12"/>
            </w:pPr>
            <w:r>
              <w:t>31.10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31.10</w:t>
            </w:r>
          </w:p>
        </w:tc>
        <w:tc>
          <w:tcPr>
            <w:tcW w:w="1134" w:type="dxa"/>
            <w:vAlign w:val="center"/>
          </w:tcPr>
          <w:p>
            <w:pPr>
              <w:pStyle w:val="12"/>
            </w:pPr>
            <w:r>
              <w:t>31.10</w:t>
            </w:r>
          </w:p>
        </w:tc>
        <w:tc>
          <w:tcPr>
            <w:tcW w:w="1134" w:type="dxa"/>
            <w:vAlign w:val="center"/>
          </w:tcPr>
          <w:p>
            <w:pPr>
              <w:pStyle w:val="12"/>
            </w:pPr>
            <w:r>
              <w:t>31.10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434高阳县人民政府办公室</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1591.22</w:t>
            </w:r>
          </w:p>
        </w:tc>
        <w:tc>
          <w:tcPr>
            <w:tcW w:w="1361" w:type="dxa"/>
            <w:vAlign w:val="center"/>
          </w:tcPr>
          <w:p>
            <w:pPr>
              <w:pStyle w:val="16"/>
            </w:pPr>
            <w:r>
              <w:t>925.08</w:t>
            </w:r>
          </w:p>
        </w:tc>
        <w:tc>
          <w:tcPr>
            <w:tcW w:w="1361" w:type="dxa"/>
            <w:vAlign w:val="center"/>
          </w:tcPr>
          <w:p>
            <w:pPr>
              <w:pStyle w:val="16"/>
            </w:pPr>
            <w:r>
              <w:t>666.14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1462.69</w:t>
            </w:r>
          </w:p>
        </w:tc>
        <w:tc>
          <w:tcPr>
            <w:tcW w:w="1361" w:type="dxa"/>
            <w:vAlign w:val="center"/>
          </w:tcPr>
          <w:p>
            <w:pPr>
              <w:pStyle w:val="12"/>
            </w:pPr>
            <w:r>
              <w:t>796.55</w:t>
            </w:r>
          </w:p>
        </w:tc>
        <w:tc>
          <w:tcPr>
            <w:tcW w:w="1361" w:type="dxa"/>
            <w:vAlign w:val="center"/>
          </w:tcPr>
          <w:p>
            <w:pPr>
              <w:pStyle w:val="12"/>
            </w:pPr>
            <w:r>
              <w:t>666.14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1462.69</w:t>
            </w:r>
          </w:p>
        </w:tc>
        <w:tc>
          <w:tcPr>
            <w:tcW w:w="1361" w:type="dxa"/>
            <w:vAlign w:val="center"/>
          </w:tcPr>
          <w:p>
            <w:pPr>
              <w:pStyle w:val="12"/>
            </w:pPr>
            <w:r>
              <w:t>796.55</w:t>
            </w:r>
          </w:p>
        </w:tc>
        <w:tc>
          <w:tcPr>
            <w:tcW w:w="1361" w:type="dxa"/>
            <w:vAlign w:val="center"/>
          </w:tcPr>
          <w:p>
            <w:pPr>
              <w:pStyle w:val="12"/>
            </w:pPr>
            <w:r>
              <w:t>666.14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796.55</w:t>
            </w:r>
          </w:p>
        </w:tc>
        <w:tc>
          <w:tcPr>
            <w:tcW w:w="1361" w:type="dxa"/>
            <w:vAlign w:val="center"/>
          </w:tcPr>
          <w:p>
            <w:pPr>
              <w:pStyle w:val="12"/>
            </w:pPr>
            <w:r>
              <w:t>796.55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526.14</w:t>
            </w:r>
          </w:p>
        </w:tc>
        <w:tc>
          <w:tcPr>
            <w:tcW w:w="1361" w:type="dxa"/>
            <w:vAlign w:val="center"/>
          </w:tcPr>
          <w:p>
            <w:pPr>
              <w:pStyle w:val="12"/>
            </w:pPr>
          </w:p>
        </w:tc>
        <w:tc>
          <w:tcPr>
            <w:tcW w:w="1361" w:type="dxa"/>
            <w:vAlign w:val="center"/>
          </w:tcPr>
          <w:p>
            <w:pPr>
              <w:pStyle w:val="12"/>
            </w:pPr>
            <w:r>
              <w:t>526.14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140.00</w:t>
            </w:r>
          </w:p>
        </w:tc>
        <w:tc>
          <w:tcPr>
            <w:tcW w:w="1361" w:type="dxa"/>
            <w:vAlign w:val="center"/>
          </w:tcPr>
          <w:p>
            <w:pPr>
              <w:pStyle w:val="12"/>
            </w:pPr>
          </w:p>
        </w:tc>
        <w:tc>
          <w:tcPr>
            <w:tcW w:w="1361" w:type="dxa"/>
            <w:vAlign w:val="center"/>
          </w:tcPr>
          <w:p>
            <w:pPr>
              <w:pStyle w:val="12"/>
            </w:pPr>
            <w:r>
              <w:t>140.00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78.03</w:t>
            </w:r>
          </w:p>
        </w:tc>
        <w:tc>
          <w:tcPr>
            <w:tcW w:w="1361" w:type="dxa"/>
            <w:vAlign w:val="center"/>
          </w:tcPr>
          <w:p>
            <w:pPr>
              <w:pStyle w:val="12"/>
            </w:pPr>
            <w:r>
              <w:t>78.03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69.87</w:t>
            </w:r>
          </w:p>
        </w:tc>
        <w:tc>
          <w:tcPr>
            <w:tcW w:w="1361" w:type="dxa"/>
            <w:vAlign w:val="center"/>
          </w:tcPr>
          <w:p>
            <w:pPr>
              <w:pStyle w:val="12"/>
            </w:pPr>
            <w:r>
              <w:t>69.87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47.61</w:t>
            </w:r>
          </w:p>
        </w:tc>
        <w:tc>
          <w:tcPr>
            <w:tcW w:w="1361" w:type="dxa"/>
            <w:vAlign w:val="center"/>
          </w:tcPr>
          <w:p>
            <w:pPr>
              <w:pStyle w:val="12"/>
            </w:pPr>
            <w:r>
              <w:t>47.61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22.26</w:t>
            </w:r>
          </w:p>
        </w:tc>
        <w:tc>
          <w:tcPr>
            <w:tcW w:w="1361" w:type="dxa"/>
            <w:vAlign w:val="center"/>
          </w:tcPr>
          <w:p>
            <w:pPr>
              <w:pStyle w:val="12"/>
            </w:pPr>
            <w:r>
              <w:t>22.26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8.16</w:t>
            </w:r>
          </w:p>
        </w:tc>
        <w:tc>
          <w:tcPr>
            <w:tcW w:w="1361" w:type="dxa"/>
            <w:vAlign w:val="center"/>
          </w:tcPr>
          <w:p>
            <w:pPr>
              <w:pStyle w:val="12"/>
            </w:pPr>
            <w:r>
              <w:t>8.16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8.16</w:t>
            </w:r>
          </w:p>
        </w:tc>
        <w:tc>
          <w:tcPr>
            <w:tcW w:w="1361" w:type="dxa"/>
            <w:vAlign w:val="center"/>
          </w:tcPr>
          <w:p>
            <w:pPr>
              <w:pStyle w:val="12"/>
            </w:pPr>
            <w:r>
              <w:t>8.16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19.40</w:t>
            </w:r>
          </w:p>
        </w:tc>
        <w:tc>
          <w:tcPr>
            <w:tcW w:w="1361" w:type="dxa"/>
            <w:vAlign w:val="center"/>
          </w:tcPr>
          <w:p>
            <w:pPr>
              <w:pStyle w:val="12"/>
            </w:pPr>
            <w:r>
              <w:t>19.40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19.40</w:t>
            </w:r>
          </w:p>
        </w:tc>
        <w:tc>
          <w:tcPr>
            <w:tcW w:w="1361" w:type="dxa"/>
            <w:vAlign w:val="center"/>
          </w:tcPr>
          <w:p>
            <w:pPr>
              <w:pStyle w:val="12"/>
            </w:pPr>
            <w:r>
              <w:t>19.40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19.40</w:t>
            </w:r>
          </w:p>
        </w:tc>
        <w:tc>
          <w:tcPr>
            <w:tcW w:w="1361" w:type="dxa"/>
            <w:vAlign w:val="center"/>
          </w:tcPr>
          <w:p>
            <w:pPr>
              <w:pStyle w:val="12"/>
            </w:pPr>
            <w:r>
              <w:t>19.40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31.10</w:t>
            </w:r>
          </w:p>
        </w:tc>
        <w:tc>
          <w:tcPr>
            <w:tcW w:w="1361" w:type="dxa"/>
            <w:vAlign w:val="center"/>
          </w:tcPr>
          <w:p>
            <w:pPr>
              <w:pStyle w:val="12"/>
            </w:pPr>
            <w:r>
              <w:t>31.10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31.10</w:t>
            </w:r>
          </w:p>
        </w:tc>
        <w:tc>
          <w:tcPr>
            <w:tcW w:w="1361" w:type="dxa"/>
            <w:vAlign w:val="center"/>
          </w:tcPr>
          <w:p>
            <w:pPr>
              <w:pStyle w:val="12"/>
            </w:pPr>
            <w:r>
              <w:t>31.10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31.10</w:t>
            </w:r>
          </w:p>
        </w:tc>
        <w:tc>
          <w:tcPr>
            <w:tcW w:w="1361" w:type="dxa"/>
            <w:vAlign w:val="center"/>
          </w:tcPr>
          <w:p>
            <w:pPr>
              <w:pStyle w:val="12"/>
            </w:pPr>
            <w:r>
              <w:t>31.10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434高阳县人民政府办公室</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1591.22</w:t>
            </w:r>
          </w:p>
        </w:tc>
        <w:tc>
          <w:tcPr>
            <w:tcW w:w="3402" w:type="dxa"/>
            <w:vAlign w:val="center"/>
          </w:tcPr>
          <w:p>
            <w:pPr>
              <w:pStyle w:val="13"/>
            </w:pPr>
            <w:r>
              <w:t>一、一般公共服务支出</w:t>
            </w:r>
          </w:p>
        </w:tc>
        <w:tc>
          <w:tcPr>
            <w:tcW w:w="1474" w:type="dxa"/>
            <w:vAlign w:val="center"/>
          </w:tcPr>
          <w:p>
            <w:pPr>
              <w:pStyle w:val="12"/>
            </w:pPr>
            <w:r>
              <w:t>1462.69</w:t>
            </w:r>
          </w:p>
        </w:tc>
        <w:tc>
          <w:tcPr>
            <w:tcW w:w="1474" w:type="dxa"/>
            <w:vAlign w:val="center"/>
          </w:tcPr>
          <w:p>
            <w:pPr>
              <w:pStyle w:val="12"/>
            </w:pPr>
            <w:r>
              <w:t>1462.69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78.03</w:t>
            </w:r>
          </w:p>
        </w:tc>
        <w:tc>
          <w:tcPr>
            <w:tcW w:w="1474" w:type="dxa"/>
            <w:vAlign w:val="center"/>
          </w:tcPr>
          <w:p>
            <w:pPr>
              <w:pStyle w:val="12"/>
            </w:pPr>
            <w:r>
              <w:t>78.03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19.40</w:t>
            </w:r>
          </w:p>
        </w:tc>
        <w:tc>
          <w:tcPr>
            <w:tcW w:w="1474" w:type="dxa"/>
            <w:vAlign w:val="center"/>
          </w:tcPr>
          <w:p>
            <w:pPr>
              <w:pStyle w:val="12"/>
            </w:pPr>
            <w:r>
              <w:t>19.40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31.10</w:t>
            </w:r>
          </w:p>
        </w:tc>
        <w:tc>
          <w:tcPr>
            <w:tcW w:w="1474" w:type="dxa"/>
            <w:vAlign w:val="center"/>
          </w:tcPr>
          <w:p>
            <w:pPr>
              <w:pStyle w:val="12"/>
            </w:pPr>
            <w:r>
              <w:t>31.10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1591.22</w:t>
            </w:r>
          </w:p>
        </w:tc>
        <w:tc>
          <w:tcPr>
            <w:tcW w:w="3402" w:type="dxa"/>
            <w:vAlign w:val="center"/>
          </w:tcPr>
          <w:p>
            <w:pPr>
              <w:pStyle w:val="15"/>
            </w:pPr>
            <w:r>
              <w:t>本年支出合计</w:t>
            </w:r>
          </w:p>
        </w:tc>
        <w:tc>
          <w:tcPr>
            <w:tcW w:w="1474" w:type="dxa"/>
            <w:vAlign w:val="center"/>
          </w:tcPr>
          <w:p>
            <w:pPr>
              <w:pStyle w:val="16"/>
            </w:pPr>
            <w:r>
              <w:t>1591.22</w:t>
            </w:r>
          </w:p>
        </w:tc>
        <w:tc>
          <w:tcPr>
            <w:tcW w:w="1474" w:type="dxa"/>
            <w:vAlign w:val="center"/>
          </w:tcPr>
          <w:p>
            <w:pPr>
              <w:pStyle w:val="16"/>
            </w:pPr>
            <w:r>
              <w:t>1591.22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1591.22</w:t>
            </w:r>
          </w:p>
        </w:tc>
        <w:tc>
          <w:tcPr>
            <w:tcW w:w="3402" w:type="dxa"/>
            <w:vAlign w:val="center"/>
          </w:tcPr>
          <w:p>
            <w:pPr>
              <w:pStyle w:val="15"/>
            </w:pPr>
            <w:r>
              <w:t>支出总计</w:t>
            </w:r>
          </w:p>
        </w:tc>
        <w:tc>
          <w:tcPr>
            <w:tcW w:w="1474" w:type="dxa"/>
            <w:vAlign w:val="center"/>
          </w:tcPr>
          <w:p>
            <w:pPr>
              <w:pStyle w:val="16"/>
            </w:pPr>
            <w:r>
              <w:t>1591.22</w:t>
            </w:r>
          </w:p>
        </w:tc>
        <w:tc>
          <w:tcPr>
            <w:tcW w:w="1474" w:type="dxa"/>
            <w:vAlign w:val="center"/>
          </w:tcPr>
          <w:p>
            <w:pPr>
              <w:pStyle w:val="16"/>
            </w:pPr>
            <w:r>
              <w:t>1591.22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1591.22</w:t>
            </w:r>
          </w:p>
        </w:tc>
        <w:tc>
          <w:tcPr>
            <w:tcW w:w="2551" w:type="dxa"/>
            <w:vAlign w:val="center"/>
          </w:tcPr>
          <w:p>
            <w:pPr>
              <w:pStyle w:val="16"/>
            </w:pPr>
            <w:r>
              <w:t>925.08</w:t>
            </w:r>
          </w:p>
        </w:tc>
        <w:tc>
          <w:tcPr>
            <w:tcW w:w="2551" w:type="dxa"/>
            <w:vAlign w:val="center"/>
          </w:tcPr>
          <w:p>
            <w:pPr>
              <w:pStyle w:val="16"/>
            </w:pPr>
            <w:r>
              <w:t>666.14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1462.69</w:t>
            </w:r>
          </w:p>
        </w:tc>
        <w:tc>
          <w:tcPr>
            <w:tcW w:w="2551" w:type="dxa"/>
            <w:vAlign w:val="center"/>
          </w:tcPr>
          <w:p>
            <w:pPr>
              <w:pStyle w:val="12"/>
            </w:pPr>
            <w:r>
              <w:t>796.55</w:t>
            </w:r>
          </w:p>
        </w:tc>
        <w:tc>
          <w:tcPr>
            <w:tcW w:w="2551" w:type="dxa"/>
            <w:vAlign w:val="center"/>
          </w:tcPr>
          <w:p>
            <w:pPr>
              <w:pStyle w:val="12"/>
            </w:pPr>
            <w:r>
              <w:t>666.14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1462.69</w:t>
            </w:r>
          </w:p>
        </w:tc>
        <w:tc>
          <w:tcPr>
            <w:tcW w:w="2551" w:type="dxa"/>
            <w:vAlign w:val="center"/>
          </w:tcPr>
          <w:p>
            <w:pPr>
              <w:pStyle w:val="12"/>
            </w:pPr>
            <w:r>
              <w:t>796.55</w:t>
            </w:r>
          </w:p>
        </w:tc>
        <w:tc>
          <w:tcPr>
            <w:tcW w:w="2551" w:type="dxa"/>
            <w:vAlign w:val="center"/>
          </w:tcPr>
          <w:p>
            <w:pPr>
              <w:pStyle w:val="12"/>
            </w:pPr>
            <w:r>
              <w:t>666.14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796.55</w:t>
            </w:r>
          </w:p>
        </w:tc>
        <w:tc>
          <w:tcPr>
            <w:tcW w:w="2551" w:type="dxa"/>
            <w:vAlign w:val="center"/>
          </w:tcPr>
          <w:p>
            <w:pPr>
              <w:pStyle w:val="12"/>
            </w:pPr>
            <w:r>
              <w:t>796.55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526.14</w:t>
            </w:r>
          </w:p>
        </w:tc>
        <w:tc>
          <w:tcPr>
            <w:tcW w:w="2551" w:type="dxa"/>
            <w:vAlign w:val="center"/>
          </w:tcPr>
          <w:p>
            <w:pPr>
              <w:pStyle w:val="12"/>
            </w:pPr>
          </w:p>
        </w:tc>
        <w:tc>
          <w:tcPr>
            <w:tcW w:w="2551" w:type="dxa"/>
            <w:vAlign w:val="center"/>
          </w:tcPr>
          <w:p>
            <w:pPr>
              <w:pStyle w:val="12"/>
            </w:pPr>
            <w:r>
              <w:t>526.14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140.00</w:t>
            </w:r>
          </w:p>
        </w:tc>
        <w:tc>
          <w:tcPr>
            <w:tcW w:w="2551" w:type="dxa"/>
            <w:vAlign w:val="center"/>
          </w:tcPr>
          <w:p>
            <w:pPr>
              <w:pStyle w:val="12"/>
            </w:pPr>
          </w:p>
        </w:tc>
        <w:tc>
          <w:tcPr>
            <w:tcW w:w="2551" w:type="dxa"/>
            <w:vAlign w:val="center"/>
          </w:tcPr>
          <w:p>
            <w:pPr>
              <w:pStyle w:val="12"/>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78.03</w:t>
            </w:r>
          </w:p>
        </w:tc>
        <w:tc>
          <w:tcPr>
            <w:tcW w:w="2551" w:type="dxa"/>
            <w:vAlign w:val="center"/>
          </w:tcPr>
          <w:p>
            <w:pPr>
              <w:pStyle w:val="12"/>
            </w:pPr>
            <w:r>
              <w:t>78.03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69.87</w:t>
            </w:r>
          </w:p>
        </w:tc>
        <w:tc>
          <w:tcPr>
            <w:tcW w:w="2551" w:type="dxa"/>
            <w:vAlign w:val="center"/>
          </w:tcPr>
          <w:p>
            <w:pPr>
              <w:pStyle w:val="12"/>
            </w:pPr>
            <w:r>
              <w:t>69.87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47.61</w:t>
            </w:r>
          </w:p>
        </w:tc>
        <w:tc>
          <w:tcPr>
            <w:tcW w:w="2551" w:type="dxa"/>
            <w:vAlign w:val="center"/>
          </w:tcPr>
          <w:p>
            <w:pPr>
              <w:pStyle w:val="12"/>
            </w:pPr>
            <w:r>
              <w:t>47.61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22.26</w:t>
            </w:r>
          </w:p>
        </w:tc>
        <w:tc>
          <w:tcPr>
            <w:tcW w:w="2551" w:type="dxa"/>
            <w:vAlign w:val="center"/>
          </w:tcPr>
          <w:p>
            <w:pPr>
              <w:pStyle w:val="12"/>
            </w:pPr>
            <w:r>
              <w:t>22.26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8.16</w:t>
            </w:r>
          </w:p>
        </w:tc>
        <w:tc>
          <w:tcPr>
            <w:tcW w:w="2551" w:type="dxa"/>
            <w:vAlign w:val="center"/>
          </w:tcPr>
          <w:p>
            <w:pPr>
              <w:pStyle w:val="12"/>
            </w:pPr>
            <w:r>
              <w:t>8.16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8.16</w:t>
            </w:r>
          </w:p>
        </w:tc>
        <w:tc>
          <w:tcPr>
            <w:tcW w:w="2551" w:type="dxa"/>
            <w:vAlign w:val="center"/>
          </w:tcPr>
          <w:p>
            <w:pPr>
              <w:pStyle w:val="12"/>
            </w:pPr>
            <w:r>
              <w:t>8.16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19.40</w:t>
            </w:r>
          </w:p>
        </w:tc>
        <w:tc>
          <w:tcPr>
            <w:tcW w:w="2551" w:type="dxa"/>
            <w:vAlign w:val="center"/>
          </w:tcPr>
          <w:p>
            <w:pPr>
              <w:pStyle w:val="12"/>
            </w:pPr>
            <w:r>
              <w:t>19.40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19.40</w:t>
            </w:r>
          </w:p>
        </w:tc>
        <w:tc>
          <w:tcPr>
            <w:tcW w:w="2551" w:type="dxa"/>
            <w:vAlign w:val="center"/>
          </w:tcPr>
          <w:p>
            <w:pPr>
              <w:pStyle w:val="12"/>
            </w:pPr>
            <w:r>
              <w:t>19.40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19.40</w:t>
            </w:r>
          </w:p>
        </w:tc>
        <w:tc>
          <w:tcPr>
            <w:tcW w:w="2551" w:type="dxa"/>
            <w:vAlign w:val="center"/>
          </w:tcPr>
          <w:p>
            <w:pPr>
              <w:pStyle w:val="12"/>
            </w:pPr>
            <w:r>
              <w:t>19.40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31.10</w:t>
            </w:r>
          </w:p>
        </w:tc>
        <w:tc>
          <w:tcPr>
            <w:tcW w:w="2551" w:type="dxa"/>
            <w:vAlign w:val="center"/>
          </w:tcPr>
          <w:p>
            <w:pPr>
              <w:pStyle w:val="12"/>
            </w:pPr>
            <w:r>
              <w:t>31.10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31.10</w:t>
            </w:r>
          </w:p>
        </w:tc>
        <w:tc>
          <w:tcPr>
            <w:tcW w:w="2551" w:type="dxa"/>
            <w:vAlign w:val="center"/>
          </w:tcPr>
          <w:p>
            <w:pPr>
              <w:pStyle w:val="12"/>
            </w:pPr>
            <w:r>
              <w:t>31.10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31.10</w:t>
            </w:r>
          </w:p>
        </w:tc>
        <w:tc>
          <w:tcPr>
            <w:tcW w:w="2551" w:type="dxa"/>
            <w:vAlign w:val="center"/>
          </w:tcPr>
          <w:p>
            <w:pPr>
              <w:pStyle w:val="12"/>
            </w:pPr>
            <w:r>
              <w:t>31.10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925.08</w:t>
            </w:r>
          </w:p>
        </w:tc>
        <w:tc>
          <w:tcPr>
            <w:tcW w:w="2551" w:type="dxa"/>
            <w:vAlign w:val="center"/>
          </w:tcPr>
          <w:p>
            <w:pPr>
              <w:pStyle w:val="16"/>
            </w:pPr>
            <w:r>
              <w:t>503.55</w:t>
            </w:r>
          </w:p>
        </w:tc>
        <w:tc>
          <w:tcPr>
            <w:tcW w:w="2551" w:type="dxa"/>
            <w:vAlign w:val="center"/>
          </w:tcPr>
          <w:p>
            <w:pPr>
              <w:pStyle w:val="16"/>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443.16</w:t>
            </w:r>
          </w:p>
        </w:tc>
        <w:tc>
          <w:tcPr>
            <w:tcW w:w="2551" w:type="dxa"/>
            <w:vAlign w:val="center"/>
          </w:tcPr>
          <w:p>
            <w:pPr>
              <w:pStyle w:val="12"/>
            </w:pPr>
            <w:r>
              <w:t>443.16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174.27</w:t>
            </w:r>
          </w:p>
        </w:tc>
        <w:tc>
          <w:tcPr>
            <w:tcW w:w="2551" w:type="dxa"/>
            <w:vAlign w:val="center"/>
          </w:tcPr>
          <w:p>
            <w:pPr>
              <w:pStyle w:val="12"/>
            </w:pPr>
            <w:r>
              <w:t>174.27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64.35</w:t>
            </w:r>
          </w:p>
        </w:tc>
        <w:tc>
          <w:tcPr>
            <w:tcW w:w="2551" w:type="dxa"/>
            <w:vAlign w:val="center"/>
          </w:tcPr>
          <w:p>
            <w:pPr>
              <w:pStyle w:val="12"/>
            </w:pPr>
            <w:r>
              <w:t>64.35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40.52</w:t>
            </w:r>
          </w:p>
        </w:tc>
        <w:tc>
          <w:tcPr>
            <w:tcW w:w="2551" w:type="dxa"/>
            <w:vAlign w:val="center"/>
          </w:tcPr>
          <w:p>
            <w:pPr>
              <w:pStyle w:val="12"/>
            </w:pPr>
            <w:r>
              <w:t>40.52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40.63</w:t>
            </w:r>
          </w:p>
        </w:tc>
        <w:tc>
          <w:tcPr>
            <w:tcW w:w="2551" w:type="dxa"/>
            <w:vAlign w:val="center"/>
          </w:tcPr>
          <w:p>
            <w:pPr>
              <w:pStyle w:val="12"/>
            </w:pPr>
            <w:r>
              <w:t>40.63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47.61</w:t>
            </w:r>
          </w:p>
        </w:tc>
        <w:tc>
          <w:tcPr>
            <w:tcW w:w="2551" w:type="dxa"/>
            <w:vAlign w:val="center"/>
          </w:tcPr>
          <w:p>
            <w:pPr>
              <w:pStyle w:val="12"/>
            </w:pPr>
            <w:r>
              <w:t>47.61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22.26</w:t>
            </w:r>
          </w:p>
        </w:tc>
        <w:tc>
          <w:tcPr>
            <w:tcW w:w="2551" w:type="dxa"/>
            <w:vAlign w:val="center"/>
          </w:tcPr>
          <w:p>
            <w:pPr>
              <w:pStyle w:val="12"/>
            </w:pPr>
            <w:r>
              <w:t>22.26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19.40</w:t>
            </w:r>
          </w:p>
        </w:tc>
        <w:tc>
          <w:tcPr>
            <w:tcW w:w="2551" w:type="dxa"/>
            <w:vAlign w:val="center"/>
          </w:tcPr>
          <w:p>
            <w:pPr>
              <w:pStyle w:val="12"/>
            </w:pPr>
            <w:r>
              <w:t>19.40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3.02</w:t>
            </w:r>
          </w:p>
        </w:tc>
        <w:tc>
          <w:tcPr>
            <w:tcW w:w="2551" w:type="dxa"/>
            <w:vAlign w:val="center"/>
          </w:tcPr>
          <w:p>
            <w:pPr>
              <w:pStyle w:val="12"/>
            </w:pPr>
            <w:r>
              <w:t>3.02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31.10</w:t>
            </w:r>
          </w:p>
        </w:tc>
        <w:tc>
          <w:tcPr>
            <w:tcW w:w="2551" w:type="dxa"/>
            <w:vAlign w:val="center"/>
          </w:tcPr>
          <w:p>
            <w:pPr>
              <w:pStyle w:val="12"/>
            </w:pPr>
            <w:r>
              <w:t>31.10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391.53</w:t>
            </w:r>
          </w:p>
        </w:tc>
        <w:tc>
          <w:tcPr>
            <w:tcW w:w="2551" w:type="dxa"/>
            <w:vAlign w:val="center"/>
          </w:tcPr>
          <w:p>
            <w:pPr>
              <w:pStyle w:val="12"/>
            </w:pPr>
          </w:p>
        </w:tc>
        <w:tc>
          <w:tcPr>
            <w:tcW w:w="2551" w:type="dxa"/>
            <w:vAlign w:val="center"/>
          </w:tcPr>
          <w:p>
            <w:pPr>
              <w:pStyle w:val="12"/>
            </w:pPr>
            <w:r>
              <w:t>391.53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150.00</w:t>
            </w:r>
          </w:p>
        </w:tc>
        <w:tc>
          <w:tcPr>
            <w:tcW w:w="2551" w:type="dxa"/>
            <w:vAlign w:val="center"/>
          </w:tcPr>
          <w:p>
            <w:pPr>
              <w:pStyle w:val="12"/>
            </w:pPr>
          </w:p>
        </w:tc>
        <w:tc>
          <w:tcPr>
            <w:tcW w:w="2551"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14.98</w:t>
            </w:r>
          </w:p>
        </w:tc>
        <w:tc>
          <w:tcPr>
            <w:tcW w:w="2551" w:type="dxa"/>
            <w:vAlign w:val="center"/>
          </w:tcPr>
          <w:p>
            <w:pPr>
              <w:pStyle w:val="12"/>
            </w:pPr>
          </w:p>
        </w:tc>
        <w:tc>
          <w:tcPr>
            <w:tcW w:w="2551" w:type="dxa"/>
            <w:vAlign w:val="center"/>
          </w:tcPr>
          <w:p>
            <w:pPr>
              <w:pStyle w:val="12"/>
            </w:pPr>
            <w:r>
              <w:t>14.98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16.20</w:t>
            </w:r>
          </w:p>
        </w:tc>
        <w:tc>
          <w:tcPr>
            <w:tcW w:w="2551" w:type="dxa"/>
            <w:vAlign w:val="center"/>
          </w:tcPr>
          <w:p>
            <w:pPr>
              <w:pStyle w:val="12"/>
            </w:pPr>
          </w:p>
        </w:tc>
        <w:tc>
          <w:tcPr>
            <w:tcW w:w="2551" w:type="dxa"/>
            <w:vAlign w:val="center"/>
          </w:tcPr>
          <w:p>
            <w:pPr>
              <w:pStyle w:val="12"/>
            </w:pPr>
            <w:r>
              <w:t>16.20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2.08</w:t>
            </w:r>
          </w:p>
        </w:tc>
        <w:tc>
          <w:tcPr>
            <w:tcW w:w="2551" w:type="dxa"/>
            <w:vAlign w:val="center"/>
          </w:tcPr>
          <w:p>
            <w:pPr>
              <w:pStyle w:val="12"/>
            </w:pPr>
          </w:p>
        </w:tc>
        <w:tc>
          <w:tcPr>
            <w:tcW w:w="2551" w:type="dxa"/>
            <w:vAlign w:val="center"/>
          </w:tcPr>
          <w:p>
            <w:pPr>
              <w:pStyle w:val="12"/>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40.19</w:t>
            </w:r>
          </w:p>
        </w:tc>
        <w:tc>
          <w:tcPr>
            <w:tcW w:w="2551" w:type="dxa"/>
            <w:vAlign w:val="center"/>
          </w:tcPr>
          <w:p>
            <w:pPr>
              <w:pStyle w:val="12"/>
            </w:pPr>
          </w:p>
        </w:tc>
        <w:tc>
          <w:tcPr>
            <w:tcW w:w="2551" w:type="dxa"/>
            <w:vAlign w:val="center"/>
          </w:tcPr>
          <w:p>
            <w:pPr>
              <w:pStyle w:val="12"/>
            </w:pPr>
            <w: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18.48</w:t>
            </w:r>
          </w:p>
        </w:tc>
        <w:tc>
          <w:tcPr>
            <w:tcW w:w="2551" w:type="dxa"/>
            <w:vAlign w:val="center"/>
          </w:tcPr>
          <w:p>
            <w:pPr>
              <w:pStyle w:val="12"/>
            </w:pPr>
          </w:p>
        </w:tc>
        <w:tc>
          <w:tcPr>
            <w:tcW w:w="2551" w:type="dxa"/>
            <w:vAlign w:val="center"/>
          </w:tcPr>
          <w:p>
            <w:pPr>
              <w:pStyle w:val="12"/>
            </w:pPr>
            <w:r>
              <w:t>18.48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13.60</w:t>
            </w:r>
          </w:p>
        </w:tc>
        <w:tc>
          <w:tcPr>
            <w:tcW w:w="2551" w:type="dxa"/>
            <w:vAlign w:val="center"/>
          </w:tcPr>
          <w:p>
            <w:pPr>
              <w:pStyle w:val="12"/>
            </w:pPr>
          </w:p>
        </w:tc>
        <w:tc>
          <w:tcPr>
            <w:tcW w:w="2551" w:type="dxa"/>
            <w:vAlign w:val="center"/>
          </w:tcPr>
          <w:p>
            <w:pPr>
              <w:pStyle w:val="12"/>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60.39</w:t>
            </w:r>
          </w:p>
        </w:tc>
        <w:tc>
          <w:tcPr>
            <w:tcW w:w="2551" w:type="dxa"/>
            <w:vAlign w:val="center"/>
          </w:tcPr>
          <w:p>
            <w:pPr>
              <w:pStyle w:val="12"/>
            </w:pPr>
            <w:r>
              <w:t>60.39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50.99</w:t>
            </w:r>
          </w:p>
        </w:tc>
        <w:tc>
          <w:tcPr>
            <w:tcW w:w="2551" w:type="dxa"/>
            <w:vAlign w:val="center"/>
          </w:tcPr>
          <w:p>
            <w:pPr>
              <w:pStyle w:val="12"/>
            </w:pPr>
            <w:r>
              <w:t>50.99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9.36</w:t>
            </w:r>
          </w:p>
        </w:tc>
        <w:tc>
          <w:tcPr>
            <w:tcW w:w="2551" w:type="dxa"/>
            <w:vAlign w:val="center"/>
          </w:tcPr>
          <w:p>
            <w:pPr>
              <w:pStyle w:val="12"/>
            </w:pPr>
            <w:r>
              <w:t>9.36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0.04</w:t>
            </w:r>
          </w:p>
        </w:tc>
        <w:tc>
          <w:tcPr>
            <w:tcW w:w="2551" w:type="dxa"/>
            <w:vAlign w:val="center"/>
          </w:tcPr>
          <w:p>
            <w:pPr>
              <w:pStyle w:val="12"/>
            </w:pPr>
            <w:r>
              <w:t>0.04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434高阳县人民政府办公室</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103.19</w:t>
            </w:r>
          </w:p>
        </w:tc>
        <w:tc>
          <w:tcPr>
            <w:tcW w:w="2381" w:type="dxa"/>
            <w:vAlign w:val="center"/>
          </w:tcPr>
          <w:p>
            <w:pPr>
              <w:pStyle w:val="16"/>
            </w:pPr>
            <w:r>
              <w:t>103.19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103.19</w:t>
            </w:r>
          </w:p>
        </w:tc>
        <w:tc>
          <w:tcPr>
            <w:tcW w:w="2381" w:type="dxa"/>
            <w:vAlign w:val="center"/>
          </w:tcPr>
          <w:p>
            <w:pPr>
              <w:pStyle w:val="12"/>
            </w:pPr>
            <w:r>
              <w:t>103.19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63.00</w:t>
            </w:r>
          </w:p>
        </w:tc>
        <w:tc>
          <w:tcPr>
            <w:tcW w:w="2381" w:type="dxa"/>
            <w:vAlign w:val="center"/>
          </w:tcPr>
          <w:p>
            <w:pPr>
              <w:pStyle w:val="12"/>
            </w:pPr>
            <w:r>
              <w:t>63.00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63.00</w:t>
            </w:r>
          </w:p>
        </w:tc>
        <w:tc>
          <w:tcPr>
            <w:tcW w:w="2381" w:type="dxa"/>
            <w:vAlign w:val="center"/>
          </w:tcPr>
          <w:p>
            <w:pPr>
              <w:pStyle w:val="12"/>
            </w:pPr>
            <w:r>
              <w:t>63.00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40.19</w:t>
            </w:r>
          </w:p>
        </w:tc>
        <w:tc>
          <w:tcPr>
            <w:tcW w:w="2381" w:type="dxa"/>
            <w:vAlign w:val="center"/>
          </w:tcPr>
          <w:p>
            <w:pPr>
              <w:pStyle w:val="12"/>
            </w:pPr>
            <w:r>
              <w:t>40.19</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高阳县人民政府办公室2024年部门预算信息公开情况说明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高阳县人民政府办公室2024年部门预算信息公开情况说明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按照《中华人民共和国预算法》、《地方预决算公开操作规程》和《关于进一步推进预算公开工作的实施意见》规定，现将高阳县人民政府办公室2024年部门预算公开如下：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6"/>
      </w:pPr>
      <w:r>
        <w:t>根据《高阳县人民政府办公室职能配置、内设机构和人员编制规定》，县政府办的主要职责是:</w:t>
      </w:r>
    </w:p>
    <w:p>
      <w:pPr>
        <w:pStyle w:val="26"/>
      </w:pPr>
      <w:r>
        <w:t>（一）负责县政府会议的准备、组织和服务工作，协助县政府领导落实会议决定的事项。</w:t>
      </w:r>
    </w:p>
    <w:p>
      <w:pPr>
        <w:pStyle w:val="26"/>
      </w:pPr>
      <w:r>
        <w:t>（二）组织起草县政府领导重要讲话及其它重要文稿。</w:t>
      </w:r>
    </w:p>
    <w:p>
      <w:pPr>
        <w:pStyle w:val="26"/>
      </w:pPr>
      <w:r>
        <w:t>（三）根据县政府领导意见，对有关事项进行协调，对部门之间出现的争议问题，提出处理意见，报县政府领导决定。</w:t>
      </w:r>
    </w:p>
    <w:p>
      <w:pPr>
        <w:pStyle w:val="26"/>
      </w:pPr>
      <w:r>
        <w:t>（四）研究县政府各部门和各乡镇（街道办）政府请示县政府的事项，提出审核意见，报县政府领导审批。</w:t>
      </w:r>
    </w:p>
    <w:p>
      <w:pPr>
        <w:pStyle w:val="26"/>
      </w:pPr>
      <w:r>
        <w:t>（五）组织起草或审核上报市政府、市政府办公厅和致函市政府各部门的公文，以及以县政府、县政府办公室名义发布的公文；办理县政府各部门和各乡镇（街道办）政府报送县政府的文电。</w:t>
      </w:r>
    </w:p>
    <w:p>
      <w:pPr>
        <w:pStyle w:val="26"/>
      </w:pPr>
      <w:r>
        <w:t>（六）督促检查县政府各部门和各乡镇（街道办）政府对国务院和省、市、县政府决定事项及领导重要批示的贯彻落实情况，并及时向县政府领导报告。组织好专项督查工作。</w:t>
      </w:r>
    </w:p>
    <w:p>
      <w:pPr>
        <w:pStyle w:val="26"/>
      </w:pPr>
      <w:r>
        <w:t>（七）负责县政府值班工作，及时报告重要情况。负责紧急重要事项的协调上报。</w:t>
      </w:r>
    </w:p>
    <w:p>
      <w:pPr>
        <w:pStyle w:val="26"/>
      </w:pPr>
      <w:r>
        <w:t>（八）围绕全县经济、社会发展和中心工作，按照县委、县政府领导的安排和工作部署，深入调查研究，及时了解、掌握经济和社会发展动态并向县政府领导报告，提出建议。</w:t>
      </w:r>
    </w:p>
    <w:p>
      <w:pPr>
        <w:pStyle w:val="26"/>
      </w:pPr>
      <w:r>
        <w:t>（九）组织承办人大代表建议和政协提案工作。</w:t>
      </w:r>
    </w:p>
    <w:p>
      <w:pPr>
        <w:pStyle w:val="26"/>
      </w:pPr>
      <w:r>
        <w:t>（十）负责政务信息服务工作和县政府系统机关电子政务工作。</w:t>
      </w:r>
    </w:p>
    <w:p>
      <w:pPr>
        <w:pStyle w:val="26"/>
      </w:pPr>
      <w:r>
        <w:t>（十</w:t>
      </w:r>
      <w:r>
        <w:rPr>
          <w:rFonts w:hint="eastAsia"/>
          <w:lang w:val="en-US" w:eastAsia="zh-CN"/>
        </w:rPr>
        <w:t>一</w:t>
      </w:r>
      <w:r>
        <w:t>）负责县志修编和省、市、县年鉴的编纂工作。</w:t>
      </w:r>
    </w:p>
    <w:p>
      <w:pPr>
        <w:pStyle w:val="26"/>
      </w:pPr>
      <w:r>
        <w:t>（十</w:t>
      </w:r>
      <w:r>
        <w:rPr>
          <w:rFonts w:hint="eastAsia"/>
          <w:lang w:val="en-US" w:eastAsia="zh-CN"/>
        </w:rPr>
        <w:t>二</w:t>
      </w:r>
      <w:r>
        <w:t>）负责县政府和县政府办公室的文书处理、档案管理、印信管理和保密工作。</w:t>
      </w:r>
    </w:p>
    <w:p>
      <w:pPr>
        <w:pStyle w:val="26"/>
      </w:pPr>
      <w:r>
        <w:t>（十</w:t>
      </w:r>
      <w:r>
        <w:rPr>
          <w:rFonts w:hint="eastAsia"/>
          <w:lang w:val="en-US" w:eastAsia="zh-CN"/>
        </w:rPr>
        <w:t>三</w:t>
      </w:r>
      <w:r>
        <w:t>）负责县政府办公室系统的行政事务和政务接待工作。</w:t>
      </w:r>
    </w:p>
    <w:p>
      <w:pPr>
        <w:pStyle w:val="26"/>
      </w:pPr>
      <w:r>
        <w:t>（十</w:t>
      </w:r>
      <w:r>
        <w:rPr>
          <w:rFonts w:hint="eastAsia"/>
          <w:lang w:val="en-US" w:eastAsia="zh-CN"/>
        </w:rPr>
        <w:t>四</w:t>
      </w:r>
      <w:r>
        <w:t>）负责受理通过市长专线、短信平台、群众热线对全县政府系统损害行政效能建设、破坏经济发展环境行为的投诉；对投诉事项按程序办理并进行跟踪回馈。</w:t>
      </w:r>
    </w:p>
    <w:p>
      <w:pPr>
        <w:pStyle w:val="26"/>
      </w:pPr>
      <w:r>
        <w:t>（十</w:t>
      </w:r>
      <w:r>
        <w:rPr>
          <w:rFonts w:hint="eastAsia"/>
          <w:lang w:val="en-US" w:eastAsia="zh-CN"/>
        </w:rPr>
        <w:t>五</w:t>
      </w:r>
      <w:r>
        <w:t>）处理群众来信，接待群众来访，及时向县政府领导报告来信来访中提出的重要建议和反映的重要问题，办理县政府领导交办的有关信访、来访事项。</w:t>
      </w:r>
    </w:p>
    <w:p>
      <w:pPr>
        <w:pStyle w:val="26"/>
      </w:pPr>
      <w:r>
        <w:t>（十</w:t>
      </w:r>
      <w:r>
        <w:rPr>
          <w:rFonts w:hint="eastAsia"/>
          <w:lang w:val="en-US" w:eastAsia="zh-CN"/>
        </w:rPr>
        <w:t>六</w:t>
      </w:r>
      <w:r>
        <w:t>）承担县政府办公室地方金融监督管理局（金融工作办公室）工作职责。</w:t>
      </w:r>
    </w:p>
    <w:p>
      <w:pPr>
        <w:pStyle w:val="26"/>
      </w:pPr>
      <w:r>
        <w:t>（十</w:t>
      </w:r>
      <w:r>
        <w:rPr>
          <w:rFonts w:hint="eastAsia"/>
          <w:lang w:val="en-US" w:eastAsia="zh-CN"/>
        </w:rPr>
        <w:t>七</w:t>
      </w:r>
      <w:r>
        <w:t>）承担县政务公开办公室工作职责。</w:t>
      </w:r>
    </w:p>
    <w:p>
      <w:pPr>
        <w:pStyle w:val="26"/>
      </w:pPr>
      <w:r>
        <w:t>（十</w:t>
      </w:r>
      <w:r>
        <w:rPr>
          <w:rFonts w:hint="eastAsia"/>
          <w:lang w:val="en-US" w:eastAsia="zh-CN"/>
        </w:rPr>
        <w:t>八</w:t>
      </w:r>
      <w:r>
        <w:t>）承担县委外事工作委员会办公室的工作职责，负责外事接待工作。</w:t>
      </w:r>
    </w:p>
    <w:p>
      <w:pPr>
        <w:pStyle w:val="26"/>
      </w:pPr>
      <w:r>
        <w:t>（十</w:t>
      </w:r>
      <w:r>
        <w:rPr>
          <w:rFonts w:hint="eastAsia"/>
          <w:lang w:val="en-US" w:eastAsia="zh-CN"/>
        </w:rPr>
        <w:t>九</w:t>
      </w:r>
      <w:r>
        <w:t>）承办县政府领导交办的其它事项。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高阳县人民政府办公室</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按照预算管理有关规定，目前我县部门预算的编制实行综合预算管理，即全部收入和支出都反映在预算中。</w:t>
      </w:r>
    </w:p>
    <w:p>
      <w:pPr>
        <w:pStyle w:val="19"/>
      </w:pPr>
      <w:r>
        <w:t>（一）收入说明</w:t>
      </w:r>
    </w:p>
    <w:p>
      <w:pPr>
        <w:pStyle w:val="19"/>
      </w:pPr>
      <w:r>
        <w:rPr>
          <w:rFonts w:hint="eastAsia"/>
          <w:lang w:val="en-US" w:eastAsia="zh-CN"/>
        </w:rPr>
        <w:t>反映本部门当年全部收入。</w:t>
      </w:r>
      <w:r>
        <w:t>2024年高阳县</w:t>
      </w:r>
      <w:r>
        <w:rPr>
          <w:rFonts w:hint="eastAsia"/>
          <w:lang w:val="en-US" w:eastAsia="zh-CN"/>
        </w:rPr>
        <w:t>人民</w:t>
      </w:r>
      <w:r>
        <w:t>政府办公室年初部门预算收入总额为1591.22万元。按照资金来源，一般预算收入1591.22万元，财政专户拨款0万元，政府性基金收入0万元，其他收入来源0万元。</w:t>
      </w:r>
    </w:p>
    <w:p>
      <w:pPr>
        <w:pStyle w:val="19"/>
      </w:pPr>
      <w:r>
        <w:t>（二）支出说明</w:t>
      </w:r>
    </w:p>
    <w:p>
      <w:pPr>
        <w:pStyle w:val="19"/>
      </w:pPr>
      <w:r>
        <w:rPr>
          <w:rFonts w:hint="eastAsia"/>
        </w:rPr>
        <w:t>收支预算总表支出栏、基本支出表、项目支出表按经济分类和支出功能分类科目编制，反映</w:t>
      </w:r>
      <w:r>
        <w:rPr>
          <w:rFonts w:hint="eastAsia"/>
          <w:lang w:val="en-US" w:eastAsia="zh-CN"/>
        </w:rPr>
        <w:t>高阳县人民政府办公室</w:t>
      </w:r>
      <w:r>
        <w:rPr>
          <w:rFonts w:hint="eastAsia"/>
        </w:rPr>
        <w:t>本级年度</w:t>
      </w:r>
      <w:r>
        <w:rPr>
          <w:rFonts w:hint="eastAsia"/>
          <w:lang w:val="en-US" w:eastAsia="zh-CN"/>
        </w:rPr>
        <w:t>部门</w:t>
      </w:r>
      <w:r>
        <w:rPr>
          <w:rFonts w:hint="eastAsia"/>
        </w:rPr>
        <w:t>预算中支出预算的总体情况。</w:t>
      </w:r>
      <w:r>
        <w:t>202</w:t>
      </w:r>
      <w:r>
        <w:rPr>
          <w:rFonts w:hint="eastAsia"/>
          <w:lang w:val="en-US" w:eastAsia="zh-CN"/>
        </w:rPr>
        <w:t>4</w:t>
      </w:r>
      <w:r>
        <w:t>年高阳县人民政府办公室支出安排预算总额</w:t>
      </w:r>
      <w:r>
        <w:rPr>
          <w:rFonts w:hint="eastAsia"/>
          <w:lang w:val="en-US" w:eastAsia="zh-CN"/>
        </w:rPr>
        <w:t>1591.22</w:t>
      </w:r>
      <w:r>
        <w:t>万元。</w:t>
      </w:r>
      <w:r>
        <w:rPr>
          <w:rFonts w:hint="eastAsia"/>
          <w:lang w:val="en-US" w:eastAsia="zh-CN"/>
        </w:rPr>
        <w:t>其中</w:t>
      </w:r>
      <w:r>
        <w:t>基本支出</w:t>
      </w:r>
      <w:r>
        <w:rPr>
          <w:rFonts w:hint="eastAsia"/>
          <w:lang w:val="en-US" w:eastAsia="zh-CN"/>
        </w:rPr>
        <w:t>925.08</w:t>
      </w:r>
      <w:r>
        <w:t>万元</w:t>
      </w:r>
      <w:r>
        <w:rPr>
          <w:rFonts w:hint="eastAsia"/>
          <w:lang w:eastAsia="zh-CN"/>
        </w:rPr>
        <w:t>，</w:t>
      </w:r>
      <w:r>
        <w:rPr>
          <w:rFonts w:hint="eastAsia"/>
          <w:lang w:val="en-US" w:eastAsia="zh-CN"/>
        </w:rPr>
        <w:t>包括</w:t>
      </w:r>
      <w:r>
        <w:t>人员经费</w:t>
      </w:r>
      <w:r>
        <w:rPr>
          <w:rFonts w:hint="eastAsia"/>
          <w:lang w:val="en-US" w:eastAsia="zh-CN"/>
        </w:rPr>
        <w:t>503.55</w:t>
      </w:r>
      <w:r>
        <w:t>万元</w:t>
      </w:r>
      <w:r>
        <w:rPr>
          <w:rFonts w:hint="eastAsia"/>
          <w:lang w:val="en-US" w:eastAsia="zh-CN"/>
        </w:rPr>
        <w:t>和</w:t>
      </w:r>
      <w:r>
        <w:t>日常公用经费</w:t>
      </w:r>
      <w:r>
        <w:rPr>
          <w:rFonts w:hint="eastAsia"/>
          <w:lang w:val="en-US" w:eastAsia="zh-CN"/>
        </w:rPr>
        <w:t>421.53</w:t>
      </w:r>
      <w:r>
        <w:t>万元</w:t>
      </w:r>
      <w:r>
        <w:rPr>
          <w:rFonts w:hint="eastAsia"/>
          <w:lang w:eastAsia="zh-CN"/>
        </w:rPr>
        <w:t>。</w:t>
      </w:r>
      <w:r>
        <w:t>项目支出</w:t>
      </w:r>
      <w:r>
        <w:rPr>
          <w:rFonts w:hint="eastAsia"/>
          <w:lang w:val="en-US" w:eastAsia="zh-CN"/>
        </w:rPr>
        <w:t>666.14</w:t>
      </w:r>
      <w:r>
        <w:t>万元</w:t>
      </w:r>
      <w:r>
        <w:rPr>
          <w:rFonts w:hint="eastAsia"/>
          <w:lang w:eastAsia="zh-CN"/>
        </w:rPr>
        <w:t>，</w:t>
      </w:r>
      <w:r>
        <w:t>主要用于OA系统升级项目经费</w:t>
      </w:r>
      <w:r>
        <w:rPr>
          <w:rFonts w:hint="eastAsia"/>
          <w:lang w:val="en-US" w:eastAsia="zh-CN"/>
        </w:rPr>
        <w:t>2</w:t>
      </w:r>
      <w:r>
        <w:t>0万元，高阳县公务用车服务平台车辆经费48万元，</w:t>
      </w:r>
      <w:r>
        <w:rPr>
          <w:rFonts w:ascii="方正仿宋_GBK" w:hAnsi="方正仿宋_GBK" w:eastAsia="方正仿宋_GBK" w:cs="方正仿宋_GBK"/>
          <w:color w:val="000000"/>
          <w:sz w:val="28"/>
        </w:rPr>
        <w:t>高阳县乡村振兴综合整治项目（一期、二期）购买项目管理服务</w:t>
      </w:r>
      <w:r>
        <w:rPr>
          <w:rFonts w:hint="eastAsia"/>
          <w:lang w:val="en-US" w:eastAsia="zh-CN"/>
        </w:rPr>
        <w:t>140</w:t>
      </w:r>
      <w:r>
        <w:rPr>
          <w:rFonts w:hint="eastAsia" w:ascii="方正仿宋_GBK" w:hAnsi="方正仿宋_GBK" w:cs="方正仿宋_GBK"/>
          <w:color w:val="000000"/>
          <w:sz w:val="28"/>
          <w:lang w:val="en-US" w:eastAsia="zh-CN"/>
        </w:rPr>
        <w:t>万元，</w:t>
      </w:r>
      <w:r>
        <w:t>地方志工作1</w:t>
      </w:r>
      <w:r>
        <w:rPr>
          <w:rFonts w:hint="eastAsia"/>
          <w:lang w:val="en-US" w:eastAsia="zh-CN"/>
        </w:rPr>
        <w:t>0</w:t>
      </w:r>
      <w:r>
        <w:t>万元，</w:t>
      </w:r>
      <w:r>
        <w:rPr>
          <w:rFonts w:hint="eastAsia"/>
          <w:lang w:val="en-US" w:eastAsia="zh-CN"/>
        </w:rPr>
        <w:t>政府办</w:t>
      </w:r>
      <w:r>
        <w:t>广告牌租赁费25.5万元，</w:t>
      </w:r>
      <w:r>
        <w:rPr>
          <w:rFonts w:hint="eastAsia"/>
          <w:lang w:val="en-US" w:eastAsia="zh-CN"/>
        </w:rPr>
        <w:t>政府办</w:t>
      </w:r>
      <w:r>
        <w:t>金融工作</w:t>
      </w:r>
      <w:r>
        <w:rPr>
          <w:rFonts w:hint="eastAsia"/>
          <w:lang w:val="en-US" w:eastAsia="zh-CN"/>
        </w:rPr>
        <w:t>经费2</w:t>
      </w:r>
      <w:r>
        <w:t>5万元</w:t>
      </w:r>
      <w:r>
        <w:rPr>
          <w:rFonts w:hint="eastAsia"/>
          <w:lang w:eastAsia="zh-CN"/>
        </w:rPr>
        <w:t>，</w:t>
      </w:r>
      <w:r>
        <w:t>政府办网络光纤租用费24.64万元</w:t>
      </w:r>
      <w:r>
        <w:rPr>
          <w:rFonts w:hint="eastAsia"/>
          <w:lang w:eastAsia="zh-CN"/>
        </w:rPr>
        <w:t>，</w:t>
      </w:r>
      <w:r>
        <w:t>政府法律顾问</w:t>
      </w:r>
      <w:r>
        <w:rPr>
          <w:rFonts w:hint="eastAsia"/>
          <w:lang w:val="en-US" w:eastAsia="zh-CN"/>
        </w:rPr>
        <w:t>经费</w:t>
      </w:r>
      <w:r>
        <w:t>2</w:t>
      </w:r>
      <w:r>
        <w:rPr>
          <w:rFonts w:hint="eastAsia"/>
          <w:lang w:val="en-US" w:eastAsia="zh-CN"/>
        </w:rPr>
        <w:t>5</w:t>
      </w:r>
      <w:r>
        <w:t>万元，政府网站等级保护经费</w:t>
      </w:r>
      <w:r>
        <w:rPr>
          <w:rFonts w:hint="eastAsia"/>
          <w:lang w:val="en-US" w:eastAsia="zh-CN"/>
        </w:rPr>
        <w:t>16</w:t>
      </w:r>
      <w:r>
        <w:t>万元，政府投资项目经费</w:t>
      </w:r>
      <w:r>
        <w:rPr>
          <w:rFonts w:hint="eastAsia"/>
          <w:lang w:val="en-US" w:eastAsia="zh-CN"/>
        </w:rPr>
        <w:t>300</w:t>
      </w:r>
      <w:r>
        <w:t>万元，政府信息公开平台、财政预决算平台建设维护项目10万元，政务服务便民热线经费</w:t>
      </w:r>
      <w:r>
        <w:rPr>
          <w:rFonts w:hint="eastAsia"/>
          <w:lang w:val="en-US" w:eastAsia="zh-CN"/>
        </w:rPr>
        <w:t>22</w:t>
      </w:r>
      <w:r>
        <w:t>万元。</w:t>
      </w:r>
    </w:p>
    <w:p>
      <w:pPr>
        <w:pStyle w:val="19"/>
      </w:pPr>
      <w:r>
        <w:t>（三）与上年增减情况</w:t>
      </w:r>
    </w:p>
    <w:p>
      <w:pPr>
        <w:pStyle w:val="19"/>
      </w:pPr>
      <w:r>
        <w:rPr>
          <w:rFonts w:hint="eastAsia"/>
          <w:lang w:val="en-US" w:eastAsia="zh-CN"/>
        </w:rPr>
        <w:t>2024</w:t>
      </w:r>
      <w:r>
        <w:t>年度预算收支安排</w:t>
      </w:r>
      <w:r>
        <w:rPr>
          <w:rFonts w:hint="eastAsia"/>
          <w:lang w:val="en-US" w:eastAsia="zh-CN"/>
        </w:rPr>
        <w:t>1591.22</w:t>
      </w:r>
      <w:r>
        <w:t>万元，较上年1805.9万元</w:t>
      </w:r>
      <w:r>
        <w:rPr>
          <w:rFonts w:hint="eastAsia"/>
          <w:lang w:val="en-US" w:eastAsia="zh-CN"/>
        </w:rPr>
        <w:t>减少214.68</w:t>
      </w:r>
      <w:r>
        <w:t>万元。其中：基本支出</w:t>
      </w:r>
      <w:r>
        <w:rPr>
          <w:rFonts w:hint="eastAsia"/>
          <w:lang w:val="en-US" w:eastAsia="zh-CN"/>
        </w:rPr>
        <w:t>925.08</w:t>
      </w:r>
      <w:r>
        <w:t>万元较上年746.55万元</w:t>
      </w:r>
      <w:r>
        <w:rPr>
          <w:rFonts w:hint="eastAsia"/>
          <w:lang w:val="en-US" w:eastAsia="zh-CN"/>
        </w:rPr>
        <w:t>870.66万元</w:t>
      </w:r>
      <w:r>
        <w:t>增加</w:t>
      </w:r>
      <w:r>
        <w:rPr>
          <w:rFonts w:hint="eastAsia"/>
          <w:lang w:val="en-US" w:eastAsia="zh-CN"/>
        </w:rPr>
        <w:t>54.42</w:t>
      </w:r>
      <w:r>
        <w:t>万元，主要原因是人员增多，人员经费支出增加；项目支出</w:t>
      </w:r>
      <w:r>
        <w:rPr>
          <w:rFonts w:hint="eastAsia"/>
          <w:lang w:val="en-US" w:eastAsia="zh-CN"/>
        </w:rPr>
        <w:t>666.14万元较上年935.24万元减少269.1</w:t>
      </w:r>
      <w:r>
        <w:t>万元，主要原因是：</w:t>
      </w:r>
      <w:r>
        <w:rPr>
          <w:rFonts w:hint="eastAsia"/>
          <w:lang w:val="en-US" w:eastAsia="zh-CN"/>
        </w:rPr>
        <w:t>项目减少，支出减少</w:t>
      </w:r>
      <w: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7"/>
      </w:pPr>
      <w:r>
        <w:t>202</w:t>
      </w:r>
      <w:r>
        <w:rPr>
          <w:rFonts w:hint="eastAsia"/>
          <w:lang w:val="en-US" w:eastAsia="zh-CN"/>
        </w:rPr>
        <w:t>4</w:t>
      </w:r>
      <w:r>
        <w:t>年机关运行经费</w:t>
      </w:r>
      <w:r>
        <w:rPr>
          <w:rFonts w:hint="eastAsia"/>
          <w:lang w:val="en-US" w:eastAsia="zh-CN"/>
        </w:rPr>
        <w:t>421.53</w:t>
      </w:r>
      <w:bookmarkStart w:id="20" w:name="_GoBack"/>
      <w:bookmarkEnd w:id="20"/>
      <w:r>
        <w:t>万元，其中：</w:t>
      </w:r>
      <w:r>
        <w:rPr>
          <w:color w:val="auto"/>
        </w:rPr>
        <w:t>办公费</w:t>
      </w:r>
      <w:r>
        <w:rPr>
          <w:rFonts w:hint="eastAsia"/>
          <w:color w:val="auto"/>
          <w:lang w:val="en-US" w:eastAsia="zh-CN"/>
        </w:rPr>
        <w:t>150</w:t>
      </w:r>
      <w:r>
        <w:rPr>
          <w:color w:val="auto"/>
        </w:rPr>
        <w:t>万元、印刷费</w:t>
      </w:r>
      <w:r>
        <w:rPr>
          <w:rFonts w:hint="eastAsia"/>
          <w:color w:val="auto"/>
          <w:lang w:val="en-US" w:eastAsia="zh-CN"/>
        </w:rPr>
        <w:t>25</w:t>
      </w:r>
      <w:r>
        <w:rPr>
          <w:color w:val="auto"/>
        </w:rPr>
        <w:t>万元、</w:t>
      </w:r>
      <w:r>
        <w:rPr>
          <w:rFonts w:hint="eastAsia"/>
          <w:color w:val="auto"/>
          <w:lang w:val="en-US" w:eastAsia="zh-CN"/>
        </w:rPr>
        <w:t>手续费1万元、</w:t>
      </w:r>
      <w:r>
        <w:rPr>
          <w:color w:val="auto"/>
        </w:rPr>
        <w:t>邮电费</w:t>
      </w:r>
      <w:r>
        <w:rPr>
          <w:rFonts w:hint="eastAsia"/>
          <w:color w:val="auto"/>
          <w:lang w:val="en-US" w:eastAsia="zh-CN"/>
        </w:rPr>
        <w:t>14.98</w:t>
      </w:r>
      <w:r>
        <w:rPr>
          <w:color w:val="auto"/>
        </w:rPr>
        <w:t>万元、差旅费10万元、维修（护）费20万元、</w:t>
      </w:r>
      <w:r>
        <w:t>租赁费</w:t>
      </w:r>
      <w:r>
        <w:rPr>
          <w:rFonts w:hint="eastAsia"/>
          <w:lang w:val="en-US" w:eastAsia="zh-CN"/>
        </w:rPr>
        <w:t>10万元、</w:t>
      </w:r>
      <w:r>
        <w:rPr>
          <w:color w:val="auto"/>
        </w:rPr>
        <w:t>会议费16.2万元、</w:t>
      </w:r>
      <w:r>
        <w:t>培训费</w:t>
      </w:r>
      <w:r>
        <w:rPr>
          <w:rFonts w:hint="eastAsia"/>
          <w:lang w:val="en-US" w:eastAsia="zh-CN"/>
        </w:rPr>
        <w:t>2.08万元、</w:t>
      </w:r>
      <w:r>
        <w:t>公务接待费</w:t>
      </w:r>
      <w:r>
        <w:rPr>
          <w:rFonts w:hint="eastAsia"/>
          <w:lang w:val="en-US" w:eastAsia="zh-CN"/>
        </w:rPr>
        <w:t>40.19万元、</w:t>
      </w:r>
      <w:r>
        <w:t>劳务费</w:t>
      </w:r>
      <w:r>
        <w:rPr>
          <w:rFonts w:hint="eastAsia"/>
          <w:lang w:val="en-US" w:eastAsia="zh-CN"/>
        </w:rPr>
        <w:t>20万元、</w:t>
      </w:r>
      <w:r>
        <w:t>委托业务费</w:t>
      </w:r>
      <w:r>
        <w:rPr>
          <w:rFonts w:hint="eastAsia"/>
          <w:lang w:val="en-US" w:eastAsia="zh-CN"/>
        </w:rPr>
        <w:t>10万元、</w:t>
      </w:r>
      <w:r>
        <w:rPr>
          <w:rFonts w:hint="eastAsia"/>
          <w:color w:val="auto"/>
          <w:lang w:val="en-US" w:eastAsia="zh-CN"/>
        </w:rPr>
        <w:t>工会经费10万元、</w:t>
      </w:r>
      <w:r>
        <w:rPr>
          <w:color w:val="auto"/>
        </w:rPr>
        <w:t>福利费10万元、公务用车运行维护费20万元、其他交通费用1</w:t>
      </w:r>
      <w:r>
        <w:rPr>
          <w:rFonts w:hint="eastAsia"/>
          <w:color w:val="auto"/>
          <w:lang w:val="en-US" w:eastAsia="zh-CN"/>
        </w:rPr>
        <w:t>8.48</w:t>
      </w:r>
      <w:r>
        <w:rPr>
          <w:color w:val="auto"/>
        </w:rPr>
        <w:t>万元、其他商品和服务支出</w:t>
      </w:r>
      <w:r>
        <w:rPr>
          <w:rFonts w:hint="eastAsia"/>
          <w:color w:val="auto"/>
          <w:lang w:val="en-US" w:eastAsia="zh-CN"/>
        </w:rPr>
        <w:t>13.6</w:t>
      </w:r>
      <w:r>
        <w:rPr>
          <w:color w:val="auto"/>
        </w:rPr>
        <w:t>万元、办公设备购置费30万元</w:t>
      </w:r>
      <w: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8"/>
      </w:pPr>
      <w:r>
        <w:t>我部门202</w:t>
      </w:r>
      <w:r>
        <w:rPr>
          <w:rFonts w:hint="eastAsia"/>
          <w:lang w:val="en-US" w:eastAsia="zh-CN"/>
        </w:rPr>
        <w:t>4</w:t>
      </w:r>
      <w:r>
        <w:t>年三公经费预算安排</w:t>
      </w:r>
      <w:r>
        <w:rPr>
          <w:rFonts w:hint="eastAsia"/>
          <w:lang w:val="en-US" w:eastAsia="zh-CN"/>
        </w:rPr>
        <w:t>103.19</w:t>
      </w:r>
      <w:r>
        <w:t>万元。其中，因公出国0元，无增减变化；公务用车费用63万元，比去年减少</w:t>
      </w:r>
      <w:r>
        <w:rPr>
          <w:rFonts w:hint="eastAsia"/>
          <w:lang w:val="en-US" w:eastAsia="zh-CN"/>
        </w:rPr>
        <w:t>0.3</w:t>
      </w:r>
      <w:r>
        <w:t>万元，原因公务用车购置与运行维护经费支出核减；公务招待费4</w:t>
      </w:r>
      <w:r>
        <w:rPr>
          <w:rFonts w:hint="eastAsia"/>
          <w:lang w:val="en-US" w:eastAsia="zh-CN"/>
        </w:rPr>
        <w:t>0.19</w:t>
      </w:r>
      <w:r>
        <w:t>万元，比去年减少</w:t>
      </w:r>
      <w:r>
        <w:rPr>
          <w:rFonts w:hint="eastAsia"/>
          <w:lang w:val="en-US" w:eastAsia="zh-CN"/>
        </w:rPr>
        <w:t>2.11</w:t>
      </w:r>
      <w:r>
        <w:t>万元，原因公务接待费支出核减。较去年</w:t>
      </w:r>
      <w:r>
        <w:rPr>
          <w:rFonts w:hint="eastAsia"/>
          <w:lang w:val="en-US" w:eastAsia="zh-CN"/>
        </w:rPr>
        <w:t>105.6</w:t>
      </w:r>
      <w:r>
        <w:t>万元相比，减少</w:t>
      </w:r>
      <w:r>
        <w:rPr>
          <w:rFonts w:hint="eastAsia"/>
          <w:lang w:val="en-US" w:eastAsia="zh-CN"/>
        </w:rPr>
        <w:t>2.41</w:t>
      </w:r>
      <w:r>
        <w:t>万元，原因针对三公经费支出制定了严格的管理制度，厉行节约，杜绝浪费。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4</w:t>
      </w:r>
      <w:r>
        <w:t>年，政府办公室将以党的二十大精神为指导，深入学习贯彻习近平新时代中国特色社会主义思想，认真落实县委、县政府的决策部署，坚持目标要求与实际工作相结合，解决问题与提高素质相结合，进一步增强推动加快发展、科学发展的信心和决心，强化中心意识、服务意识和效率意识。依据《三定方案》确保各股室各司其职，认真履行职责。坚持把思想和行动统一到县委、县政府对经济发展的分析决策上来，统一到科学发展的要求上来，以稳增长、调结构、攻重点、抓改革、惠民生、优环境为着力点，围绕产业升级、项目建设、农业现代化、文化建设、两个环境建设等重点工作，进一步加大协调和服务力度，及时解决工作进展中遇到的困难和问题，确保各项工作落到实处。</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lang w:val="en-US" w:eastAsia="zh-CN"/>
        </w:rPr>
        <w:t>1、</w:t>
      </w:r>
      <w:r>
        <w:t>政务管理工作</w:t>
      </w:r>
    </w:p>
    <w:p>
      <w:pPr>
        <w:pStyle w:val="23"/>
      </w:pPr>
      <w:r>
        <w:t>绩效目标：通过突出政务，加强事务，提升服务，力求重点工作出精品，难点工作求突破，基础工作有创新，常规工作见特色。</w:t>
      </w:r>
    </w:p>
    <w:p>
      <w:pPr>
        <w:pStyle w:val="23"/>
      </w:pPr>
      <w:r>
        <w:t>绩效指标：工作完成率达到95%以上；</w:t>
      </w:r>
    </w:p>
    <w:p>
      <w:pPr>
        <w:pStyle w:val="23"/>
      </w:pPr>
      <w:r>
        <w:rPr>
          <w:rFonts w:hint="eastAsia"/>
          <w:lang w:val="en-US" w:eastAsia="zh-CN"/>
        </w:rPr>
        <w:t>2、</w:t>
      </w:r>
      <w:r>
        <w:t>政府电子政务</w:t>
      </w:r>
    </w:p>
    <w:p>
      <w:pPr>
        <w:pStyle w:val="23"/>
      </w:pPr>
      <w:r>
        <w:t>绩效目标：负责县政府电子政务管理与服务工作，切实提高技术保障能力和服务水平。</w:t>
      </w:r>
    </w:p>
    <w:p>
      <w:pPr>
        <w:pStyle w:val="23"/>
      </w:pPr>
      <w:r>
        <w:t>绩效指标：保障政府网络安全运行；确保各类会议顺利进行；严格保障服务流程和视频会议管理制度；网站事故次数及会议保障率在3次以下。</w:t>
      </w:r>
    </w:p>
    <w:p>
      <w:pPr>
        <w:pStyle w:val="23"/>
      </w:pPr>
      <w:r>
        <w:rPr>
          <w:rFonts w:hint="eastAsia"/>
          <w:lang w:val="en-US" w:eastAsia="zh-CN"/>
        </w:rPr>
        <w:t>3、</w:t>
      </w:r>
      <w:r>
        <w:t>政务信息管理工作</w:t>
      </w:r>
    </w:p>
    <w:p>
      <w:pPr>
        <w:pStyle w:val="23"/>
      </w:pPr>
      <w:r>
        <w:t>绩效目标：做好政务信息收集、编辑、报送工作，做好县政府官方微信的发布、维护与管理，为领导提供科学决策，为全县人民提供信息服务。</w:t>
      </w:r>
    </w:p>
    <w:p>
      <w:pPr>
        <w:pStyle w:val="23"/>
      </w:pPr>
      <w:r>
        <w:t>绩效指标：工作完成率达到95%以上。</w:t>
      </w:r>
    </w:p>
    <w:p>
      <w:pPr>
        <w:pStyle w:val="23"/>
      </w:pPr>
      <w:r>
        <w:rPr>
          <w:rFonts w:hint="eastAsia"/>
          <w:lang w:val="en-US" w:eastAsia="zh-CN"/>
        </w:rPr>
        <w:t>4、</w:t>
      </w:r>
      <w:r>
        <w:t>政务公开工作</w:t>
      </w:r>
    </w:p>
    <w:p>
      <w:pPr>
        <w:pStyle w:val="23"/>
      </w:pPr>
      <w:r>
        <w:t>绩效目标：确保贯彻落实国家、省关于政务公开工作的方针政策。</w:t>
      </w:r>
    </w:p>
    <w:p>
      <w:pPr>
        <w:pStyle w:val="23"/>
      </w:pPr>
      <w:r>
        <w:t>绩效指标：县政府政务公开平台建设与维护事故处置及时率达到98%以上。</w:t>
      </w:r>
    </w:p>
    <w:p>
      <w:pPr>
        <w:pStyle w:val="23"/>
      </w:pPr>
      <w:r>
        <w:rPr>
          <w:rFonts w:hint="eastAsia"/>
          <w:lang w:val="en-US" w:eastAsia="zh-CN"/>
        </w:rPr>
        <w:t>5、</w:t>
      </w:r>
      <w:r>
        <w:t>地方志事务管理工作</w:t>
      </w:r>
    </w:p>
    <w:p>
      <w:pPr>
        <w:pStyle w:val="23"/>
      </w:pPr>
      <w:r>
        <w:t>绩效目标：继续深入开展本级年鉴编写工作。</w:t>
      </w:r>
    </w:p>
    <w:p>
      <w:pPr>
        <w:pStyle w:val="23"/>
      </w:pPr>
      <w:r>
        <w:t>绩效指标：地方志编印差错率0.1‰及以下。</w:t>
      </w:r>
    </w:p>
    <w:p>
      <w:pPr>
        <w:pStyle w:val="23"/>
      </w:pPr>
      <w:r>
        <w:rPr>
          <w:rFonts w:hint="eastAsia"/>
          <w:lang w:val="en-US" w:eastAsia="zh-CN"/>
        </w:rPr>
        <w:t>6、</w:t>
      </w:r>
      <w:r>
        <w:t>外事管理工作</w:t>
      </w:r>
    </w:p>
    <w:p>
      <w:pPr>
        <w:pStyle w:val="23"/>
      </w:pPr>
      <w:r>
        <w:t>绩效目标：综合协调和管理全县外事工作，贯彻执行党和国家的对外方针政策、法律法规。</w:t>
      </w:r>
    </w:p>
    <w:p>
      <w:pPr>
        <w:pStyle w:val="23"/>
      </w:pPr>
      <w:r>
        <w:t>绩效指标：对外稿件审定及因公出国团组初审及报批出错率0.5‰及以下。</w:t>
      </w:r>
    </w:p>
    <w:p>
      <w:pPr>
        <w:pStyle w:val="23"/>
      </w:pPr>
      <w:r>
        <w:rPr>
          <w:rFonts w:hint="eastAsia"/>
          <w:lang w:val="en-US" w:eastAsia="zh-CN"/>
        </w:rPr>
        <w:t>7、</w:t>
      </w:r>
      <w:r>
        <w:t>金融工作管理</w:t>
      </w:r>
    </w:p>
    <w:p>
      <w:pPr>
        <w:pStyle w:val="23"/>
      </w:pPr>
      <w:r>
        <w:t>绩效目标：维护全县金融秩序，协助做好全县金融风险的防范化解，促进地方金融机构健康发展。</w:t>
      </w:r>
    </w:p>
    <w:p>
      <w:pPr>
        <w:pStyle w:val="23"/>
      </w:pPr>
      <w:r>
        <w:t>绩效指标：综治考评及上报及时完成率达到90%。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202</w:t>
      </w:r>
      <w:r>
        <w:rPr>
          <w:rFonts w:hint="eastAsia"/>
          <w:lang w:val="en-US" w:eastAsia="zh-CN"/>
        </w:rPr>
        <w:t>4</w:t>
      </w:r>
      <w:r>
        <w:t>年，县政府办公室将紧紧围绕县委、县政府确定的各项重点工作，坚持目标要求与实际工作相结合，解决问题与提高素质相结合，进一步增强推动加快发展、科学发展的信心和决心，强化中心意识、服务意识和效率意识，团结协作，求真务实，攻坚克难，确保圆满完成全年任务目标。</w:t>
      </w:r>
    </w:p>
    <w:p>
      <w:pPr>
        <w:pStyle w:val="24"/>
      </w:pPr>
      <w:r>
        <w:rPr>
          <w:rFonts w:hint="eastAsia"/>
          <w:lang w:val="en-US" w:eastAsia="zh-CN"/>
        </w:rPr>
        <w:t>1、</w:t>
      </w:r>
      <w:r>
        <w:t>完善制度建设。</w:t>
      </w:r>
    </w:p>
    <w:p>
      <w:pPr>
        <w:pStyle w:val="24"/>
      </w:pPr>
      <w:r>
        <w:t>进一步制定完善预算绩效管理制度、资金管理办法、工作保障制度等，为全年预算绩效目标的实现奠定制度基础。完善学习教育机制，采取多种形式开展学习活动，增强干部队伍理论素质；把学政策学业务、开展调查研究作为一种常态，坚持不懈，持之以恒，切实增强改革创新本领、科学发展本领、依法执政本领、群众工作本领、狠抓落实本领、驾驭风险本领。</w:t>
      </w:r>
    </w:p>
    <w:p>
      <w:pPr>
        <w:pStyle w:val="24"/>
      </w:pPr>
      <w:r>
        <w:rPr>
          <w:rFonts w:hint="eastAsia"/>
          <w:lang w:val="en-US" w:eastAsia="zh-CN"/>
        </w:rPr>
        <w:t>2、</w:t>
      </w:r>
      <w:r>
        <w:t>加强支出管理。</w:t>
      </w:r>
    </w:p>
    <w:p>
      <w:pPr>
        <w:pStyle w:val="24"/>
      </w:pPr>
      <w:r>
        <w:t>通过优化支出结构、编细编实预算、加快履行政府采购手续、尽快启动项目、及时支付资金、6月底前细化代编预算、按规定及时下达资金等多种措施，确保支出进度达标。把握好工作节奏和力度，调动好各方面积极性，只为成功想办法，不为失败找理由，努力在高质量发展中取得新的更大成效。</w:t>
      </w:r>
    </w:p>
    <w:p>
      <w:pPr>
        <w:pStyle w:val="24"/>
      </w:pPr>
      <w:r>
        <w:rPr>
          <w:rFonts w:hint="eastAsia"/>
          <w:lang w:val="en-US" w:eastAsia="zh-CN"/>
        </w:rPr>
        <w:t>3、</w:t>
      </w:r>
      <w:r>
        <w:t>加强绩效运行监控。</w:t>
      </w:r>
    </w:p>
    <w:p>
      <w:pPr>
        <w:pStyle w:val="24"/>
      </w:pPr>
      <w:r>
        <w:t>转变作风，提升效能，按要求开展绩效运行监控，发现问题及时采取措施，确保绩效目标如期保质实现。着力在效率上做文章，在效率上下功夫，进一步提高工作的时效性、规范性。严格工作纪律，严明工作制度，全面加强制度管理、规则约束、日常考评、追究问责工作体系建设，加大统筹力度，抓好协调配合，提升整体工作效能。</w:t>
      </w:r>
    </w:p>
    <w:p>
      <w:pPr>
        <w:pStyle w:val="24"/>
      </w:pPr>
      <w:r>
        <w:rPr>
          <w:rFonts w:hint="eastAsia"/>
          <w:lang w:val="en-US" w:eastAsia="zh-CN"/>
        </w:rPr>
        <w:t>4、</w:t>
      </w:r>
      <w:r>
        <w:t>做好绩效自评。</w:t>
      </w:r>
    </w:p>
    <w:p>
      <w:pPr>
        <w:pStyle w:val="24"/>
      </w:pPr>
      <w:r>
        <w:t>按要求开展上年度部门预算绩效自评和重点评价工作，对评价中发现的问题及时整改，调整优化支出结构，提高财政资金使用效益。</w:t>
      </w:r>
    </w:p>
    <w:p>
      <w:pPr>
        <w:pStyle w:val="24"/>
      </w:pPr>
      <w:r>
        <w:rPr>
          <w:rFonts w:hint="eastAsia"/>
          <w:lang w:val="en-US" w:eastAsia="zh-CN"/>
        </w:rPr>
        <w:t>5、</w:t>
      </w:r>
      <w:r>
        <w:t>规范财务资产管理。</w:t>
      </w:r>
    </w:p>
    <w:p>
      <w:pPr>
        <w:pStyle w:val="24"/>
      </w:pPr>
      <w:r>
        <w:t>完善财务管理制度，严格审批程序，加强固定资产登记、使用和报废处置管理，做到支出合理，物尽其用。落实全面从严治党新要求，时刻把纪律和规矩挺在前面，严格执行中央八项规定及《实施细则》，认真遵守《准则》和《条例》。增强全心全意为人民服务的宗旨意识，提高服务领导、基层、群众的水平和能力。</w:t>
      </w:r>
    </w:p>
    <w:p>
      <w:pPr>
        <w:pStyle w:val="24"/>
      </w:pPr>
      <w:r>
        <w:rPr>
          <w:rFonts w:hint="eastAsia"/>
          <w:lang w:val="en-US" w:eastAsia="zh-CN"/>
        </w:rPr>
        <w:t>6、</w:t>
      </w:r>
      <w:r>
        <w:t>加强内部监督。</w:t>
      </w:r>
    </w:p>
    <w:p>
      <w:pPr>
        <w:pStyle w:val="24"/>
      </w:pPr>
      <w:r>
        <w:t>依法依规，干净干事，坚决落实新要求。严格规范执法行为，自觉接受监督，高度重视社会监督和舆论媒体监督，让工作依法进行。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rPr>
          <w:rFonts w:hint="eastAsia"/>
          <w:lang w:val="en-US" w:eastAsia="zh-CN"/>
        </w:rPr>
        <w:t>7、</w:t>
      </w:r>
      <w:r>
        <w:t>加强宣传培训调研等。</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hint="eastAsia" w:ascii="方正楷体_GBK" w:hAnsi="方正楷体_GBK" w:eastAsia="方正楷体_GBK" w:cs="方正楷体_GBK"/>
          <w:b/>
          <w:color w:val="000000"/>
          <w:sz w:val="32"/>
          <w:lang w:val="en-US" w:eastAsia="zh-CN"/>
        </w:rPr>
      </w:pPr>
      <w:r>
        <w:rPr>
          <w:rFonts w:hint="eastAsia" w:ascii="方正楷体_GBK" w:hAnsi="方正楷体_GBK" w:eastAsia="方正楷体_GBK" w:cs="方正楷体_GBK"/>
          <w:b/>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  无</w:t>
      </w:r>
      <w:r>
        <w:rPr>
          <w:rFonts w:hint="eastAsia" w:eastAsia="方正仿宋_GBK" w:cs="Times New Roman"/>
          <w:sz w:val="28"/>
          <w:szCs w:val="24"/>
          <w:lang w:val="en-US" w:eastAsia="zh-CN" w:bidi="ar-SA"/>
        </w:rPr>
        <w:t>。</w:t>
      </w:r>
    </w:p>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1、OA系统升级项目经费绩效目标表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13062824P000098100024</w:t>
            </w:r>
          </w:p>
        </w:tc>
        <w:tc>
          <w:tcPr>
            <w:tcW w:w="2835" w:type="dxa"/>
            <w:vAlign w:val="center"/>
          </w:tcPr>
          <w:p>
            <w:pPr>
              <w:pStyle w:val="11"/>
            </w:pPr>
            <w:r>
              <w:t>项目名称</w:t>
            </w:r>
          </w:p>
        </w:tc>
        <w:tc>
          <w:tcPr>
            <w:tcW w:w="6094" w:type="dxa"/>
            <w:gridSpan w:val="3"/>
            <w:vAlign w:val="center"/>
          </w:tcPr>
          <w:p>
            <w:pPr>
              <w:pStyle w:val="13"/>
            </w:pPr>
            <w:r>
              <w:t>OA系统升级项目经费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进行OA系统升级，保证电子公务正常运行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83</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1.保证电子公务正常运行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一年内使用天数</w:t>
            </w:r>
          </w:p>
        </w:tc>
        <w:tc>
          <w:tcPr>
            <w:tcW w:w="5386" w:type="dxa"/>
            <w:vAlign w:val="center"/>
          </w:tcPr>
          <w:p>
            <w:pPr>
              <w:pStyle w:val="13"/>
            </w:pPr>
            <w:r>
              <w:t>一年内使用天数</w:t>
            </w:r>
          </w:p>
        </w:tc>
        <w:tc>
          <w:tcPr>
            <w:tcW w:w="2268" w:type="dxa"/>
            <w:vAlign w:val="center"/>
          </w:tcPr>
          <w:p>
            <w:pPr>
              <w:pStyle w:val="13"/>
            </w:pPr>
            <w:r>
              <w:t>365天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系统故障次数</w:t>
            </w:r>
          </w:p>
        </w:tc>
        <w:tc>
          <w:tcPr>
            <w:tcW w:w="5386" w:type="dxa"/>
            <w:vAlign w:val="center"/>
          </w:tcPr>
          <w:p>
            <w:pPr>
              <w:pStyle w:val="13"/>
            </w:pPr>
            <w:r>
              <w:t>系统出故障次数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接受信息的及时性</w:t>
            </w:r>
          </w:p>
        </w:tc>
        <w:tc>
          <w:tcPr>
            <w:tcW w:w="5386" w:type="dxa"/>
            <w:vAlign w:val="center"/>
          </w:tcPr>
          <w:p>
            <w:pPr>
              <w:pStyle w:val="13"/>
            </w:pPr>
            <w:r>
              <w:t>信息发出与接收到的时间差</w:t>
            </w:r>
          </w:p>
        </w:tc>
        <w:tc>
          <w:tcPr>
            <w:tcW w:w="2268" w:type="dxa"/>
            <w:vAlign w:val="center"/>
          </w:tcPr>
          <w:p>
            <w:pPr>
              <w:pStyle w:val="13"/>
            </w:pPr>
            <w:r>
              <w:t>≤3分钟</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群众对政府办事效率的满意率</w:t>
            </w:r>
          </w:p>
        </w:tc>
        <w:tc>
          <w:tcPr>
            <w:tcW w:w="2268" w:type="dxa"/>
            <w:vAlign w:val="center"/>
          </w:tcPr>
          <w:p>
            <w:pPr>
              <w:pStyle w:val="13"/>
            </w:pPr>
            <w:r>
              <w:t>≥90%</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2、高阳县公务用车服务平台车辆经费绩效目标表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13062824P00AB76100054</w:t>
            </w:r>
          </w:p>
        </w:tc>
        <w:tc>
          <w:tcPr>
            <w:tcW w:w="2835" w:type="dxa"/>
            <w:vAlign w:val="center"/>
          </w:tcPr>
          <w:p>
            <w:pPr>
              <w:pStyle w:val="11"/>
            </w:pPr>
            <w:r>
              <w:t>项目名称</w:t>
            </w:r>
          </w:p>
        </w:tc>
        <w:tc>
          <w:tcPr>
            <w:tcW w:w="6094" w:type="dxa"/>
            <w:gridSpan w:val="3"/>
            <w:vAlign w:val="center"/>
          </w:tcPr>
          <w:p>
            <w:pPr>
              <w:pStyle w:val="13"/>
            </w:pPr>
            <w:r>
              <w:t>高阳县公务用车服务平台车辆经费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48.00</w:t>
            </w:r>
          </w:p>
        </w:tc>
        <w:tc>
          <w:tcPr>
            <w:tcW w:w="2835" w:type="dxa"/>
            <w:vAlign w:val="center"/>
          </w:tcPr>
          <w:p>
            <w:pPr>
              <w:pStyle w:val="11"/>
            </w:pPr>
            <w:r>
              <w:t>其中：财政    资金</w:t>
            </w:r>
          </w:p>
        </w:tc>
        <w:tc>
          <w:tcPr>
            <w:tcW w:w="2551" w:type="dxa"/>
            <w:vAlign w:val="center"/>
          </w:tcPr>
          <w:p>
            <w:pPr>
              <w:pStyle w:val="13"/>
            </w:pPr>
            <w:r>
              <w:t>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用于平台24辆车的油费、维修费、保险费等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1.保障政务工作正常运行，提高政务工作业务水平，提升政务工作效率。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车辆隐患发生次数</w:t>
            </w:r>
          </w:p>
        </w:tc>
        <w:tc>
          <w:tcPr>
            <w:tcW w:w="5386" w:type="dxa"/>
            <w:vAlign w:val="center"/>
          </w:tcPr>
          <w:p>
            <w:pPr>
              <w:pStyle w:val="13"/>
            </w:pPr>
            <w:r>
              <w:t>实际隐患发生次数</w:t>
            </w:r>
          </w:p>
        </w:tc>
        <w:tc>
          <w:tcPr>
            <w:tcW w:w="2268" w:type="dxa"/>
            <w:vAlign w:val="center"/>
          </w:tcPr>
          <w:p>
            <w:pPr>
              <w:pStyle w:val="13"/>
            </w:pPr>
            <w:r>
              <w:t>≤10次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实际隐患排查数量占隐患总数的比例 </w:t>
            </w:r>
          </w:p>
        </w:tc>
        <w:tc>
          <w:tcPr>
            <w:tcW w:w="5386" w:type="dxa"/>
            <w:vAlign w:val="center"/>
          </w:tcPr>
          <w:p>
            <w:pPr>
              <w:pStyle w:val="13"/>
            </w:pPr>
            <w:r>
              <w:t>实际隐患排查数量占隐患总数的比例</w:t>
            </w:r>
          </w:p>
        </w:tc>
        <w:tc>
          <w:tcPr>
            <w:tcW w:w="2268" w:type="dxa"/>
            <w:vAlign w:val="center"/>
          </w:tcPr>
          <w:p>
            <w:pPr>
              <w:pStyle w:val="13"/>
            </w:pPr>
            <w:r>
              <w:t>≥97%</w:t>
            </w:r>
          </w:p>
        </w:tc>
        <w:tc>
          <w:tcPr>
            <w:tcW w:w="1276" w:type="dxa"/>
            <w:vAlign w:val="center"/>
          </w:tcPr>
          <w:p>
            <w:pPr>
              <w:pStyle w:val="13"/>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排查隐患及时率占隐患总数的比例</w:t>
            </w:r>
          </w:p>
        </w:tc>
        <w:tc>
          <w:tcPr>
            <w:tcW w:w="5386" w:type="dxa"/>
            <w:vAlign w:val="center"/>
          </w:tcPr>
          <w:p>
            <w:pPr>
              <w:pStyle w:val="13"/>
            </w:pPr>
            <w:r>
              <w:t>排查隐患及时率占隐患总数的比例</w:t>
            </w:r>
          </w:p>
        </w:tc>
        <w:tc>
          <w:tcPr>
            <w:tcW w:w="2268" w:type="dxa"/>
            <w:vAlign w:val="center"/>
          </w:tcPr>
          <w:p>
            <w:pPr>
              <w:pStyle w:val="13"/>
            </w:pPr>
            <w:r>
              <w:t>≥97%</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实际支出占预算金额的比例</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故障降低率</w:t>
            </w:r>
          </w:p>
        </w:tc>
        <w:tc>
          <w:tcPr>
            <w:tcW w:w="5386" w:type="dxa"/>
            <w:vAlign w:val="center"/>
          </w:tcPr>
          <w:p>
            <w:pPr>
              <w:pStyle w:val="13"/>
            </w:pPr>
            <w:r>
              <w:t>故障发生同期下降比率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服务对象的满意率</w:t>
            </w:r>
          </w:p>
        </w:tc>
        <w:tc>
          <w:tcPr>
            <w:tcW w:w="5386" w:type="dxa"/>
            <w:vAlign w:val="center"/>
          </w:tcPr>
          <w:p>
            <w:pPr>
              <w:pStyle w:val="13"/>
            </w:pPr>
            <w:r>
              <w:t>工作人员对公车使用的满意率</w:t>
            </w:r>
          </w:p>
        </w:tc>
        <w:tc>
          <w:tcPr>
            <w:tcW w:w="2268" w:type="dxa"/>
            <w:vAlign w:val="center"/>
          </w:tcPr>
          <w:p>
            <w:pPr>
              <w:pStyle w:val="13"/>
            </w:pPr>
            <w:r>
              <w:t>≥98%</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3、高阳县乡村振兴综合整治项目（一期、二期）购买项目管理服务绩效目标表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13062824P00023510004E</w:t>
            </w:r>
          </w:p>
        </w:tc>
        <w:tc>
          <w:tcPr>
            <w:tcW w:w="2835" w:type="dxa"/>
            <w:vAlign w:val="center"/>
          </w:tcPr>
          <w:p>
            <w:pPr>
              <w:pStyle w:val="11"/>
            </w:pPr>
            <w:r>
              <w:t>项目名称</w:t>
            </w:r>
          </w:p>
        </w:tc>
        <w:tc>
          <w:tcPr>
            <w:tcW w:w="6094" w:type="dxa"/>
            <w:gridSpan w:val="3"/>
            <w:vAlign w:val="center"/>
          </w:tcPr>
          <w:p>
            <w:pPr>
              <w:pStyle w:val="13"/>
            </w:pPr>
            <w:r>
              <w:t>高阳县乡村振兴综合整治项目（一期、二期）购买项目管理服务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    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通过政府采购择优选择一家具有工程项目管理能力的单位为高阳县乡村振兴综合整治项目（一期、二期）提供项目管理服务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1.通过政府采购择优选择一家具有工程项目管理能力的单位为高阳县乡村振兴综合整治项目（一期、二期）提供项目管理服务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公开招标项目数</w:t>
            </w:r>
          </w:p>
        </w:tc>
        <w:tc>
          <w:tcPr>
            <w:tcW w:w="5386" w:type="dxa"/>
            <w:vAlign w:val="center"/>
          </w:tcPr>
          <w:p>
            <w:pPr>
              <w:pStyle w:val="13"/>
            </w:pPr>
            <w:r>
              <w:t>公开招标项目数</w:t>
            </w:r>
          </w:p>
        </w:tc>
        <w:tc>
          <w:tcPr>
            <w:tcW w:w="2268" w:type="dxa"/>
            <w:vAlign w:val="center"/>
          </w:tcPr>
          <w:p>
            <w:pPr>
              <w:pStyle w:val="13"/>
            </w:pPr>
            <w:r>
              <w:t>1项</w:t>
            </w:r>
          </w:p>
        </w:tc>
        <w:tc>
          <w:tcPr>
            <w:tcW w:w="1276" w:type="dxa"/>
            <w:vAlign w:val="center"/>
          </w:tcPr>
          <w:p>
            <w:pPr>
              <w:pStyle w:val="13"/>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招标过程规范化</w:t>
            </w:r>
          </w:p>
        </w:tc>
        <w:tc>
          <w:tcPr>
            <w:tcW w:w="5386" w:type="dxa"/>
            <w:vAlign w:val="center"/>
          </w:tcPr>
          <w:p>
            <w:pPr>
              <w:pStyle w:val="13"/>
            </w:pPr>
            <w:r>
              <w:t>招标过程规范化程度</w:t>
            </w:r>
          </w:p>
        </w:tc>
        <w:tc>
          <w:tcPr>
            <w:tcW w:w="2268" w:type="dxa"/>
            <w:vAlign w:val="center"/>
          </w:tcPr>
          <w:p>
            <w:pPr>
              <w:pStyle w:val="13"/>
            </w:pPr>
            <w:r>
              <w:t>≥95%</w:t>
            </w:r>
          </w:p>
        </w:tc>
        <w:tc>
          <w:tcPr>
            <w:tcW w:w="1276" w:type="dxa"/>
            <w:vAlign w:val="center"/>
          </w:tcPr>
          <w:p>
            <w:pPr>
              <w:pStyle w:val="13"/>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≥95%</w:t>
            </w:r>
          </w:p>
        </w:tc>
        <w:tc>
          <w:tcPr>
            <w:tcW w:w="1276" w:type="dxa"/>
            <w:vAlign w:val="center"/>
          </w:tcPr>
          <w:p>
            <w:pPr>
              <w:pStyle w:val="13"/>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≤100%</w:t>
            </w:r>
          </w:p>
        </w:tc>
        <w:tc>
          <w:tcPr>
            <w:tcW w:w="1276" w:type="dxa"/>
            <w:vAlign w:val="center"/>
          </w:tcPr>
          <w:p>
            <w:pPr>
              <w:pStyle w:val="13"/>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社会效益指标</w:t>
            </w:r>
          </w:p>
        </w:tc>
        <w:tc>
          <w:tcPr>
            <w:tcW w:w="2268" w:type="dxa"/>
            <w:vAlign w:val="center"/>
          </w:tcPr>
          <w:p>
            <w:pPr>
              <w:pStyle w:val="13"/>
            </w:pPr>
            <w:r>
              <w:t>≥90%</w:t>
            </w:r>
          </w:p>
        </w:tc>
        <w:tc>
          <w:tcPr>
            <w:tcW w:w="1276" w:type="dxa"/>
            <w:vAlign w:val="center"/>
          </w:tcPr>
          <w:p>
            <w:pPr>
              <w:pStyle w:val="13"/>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项目年度计划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4、政府办地方志工作经费绩效目标表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13062824P00G99B10004B</w:t>
            </w:r>
          </w:p>
        </w:tc>
        <w:tc>
          <w:tcPr>
            <w:tcW w:w="2835" w:type="dxa"/>
            <w:vAlign w:val="center"/>
          </w:tcPr>
          <w:p>
            <w:pPr>
              <w:pStyle w:val="11"/>
            </w:pPr>
            <w:r>
              <w:t>项目名称</w:t>
            </w:r>
          </w:p>
        </w:tc>
        <w:tc>
          <w:tcPr>
            <w:tcW w:w="6094" w:type="dxa"/>
            <w:gridSpan w:val="3"/>
            <w:vAlign w:val="center"/>
          </w:tcPr>
          <w:p>
            <w:pPr>
              <w:pStyle w:val="13"/>
            </w:pPr>
            <w:r>
              <w:t>政府办地方志工作经费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用于地方志印刷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1.开发利用地方志资源，为当地经济社会发展服务。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著作数量</w:t>
            </w:r>
          </w:p>
        </w:tc>
        <w:tc>
          <w:tcPr>
            <w:tcW w:w="5386" w:type="dxa"/>
            <w:vAlign w:val="center"/>
          </w:tcPr>
          <w:p>
            <w:pPr>
              <w:pStyle w:val="13"/>
            </w:pPr>
            <w:r>
              <w:t>正式出版数量</w:t>
            </w:r>
          </w:p>
        </w:tc>
        <w:tc>
          <w:tcPr>
            <w:tcW w:w="2268" w:type="dxa"/>
            <w:vAlign w:val="center"/>
          </w:tcPr>
          <w:p>
            <w:pPr>
              <w:pStyle w:val="13"/>
            </w:pPr>
            <w:r>
              <w:t>≥600本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出版著作的质量合格率</w:t>
            </w:r>
          </w:p>
        </w:tc>
        <w:tc>
          <w:tcPr>
            <w:tcW w:w="5386" w:type="dxa"/>
            <w:vAlign w:val="center"/>
          </w:tcPr>
          <w:p>
            <w:pPr>
              <w:pStyle w:val="13"/>
            </w:pPr>
            <w:r>
              <w:t>正式出版数量著作的内容充实率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出版刊物的及时性</w:t>
            </w:r>
          </w:p>
        </w:tc>
        <w:tc>
          <w:tcPr>
            <w:tcW w:w="5386" w:type="dxa"/>
            <w:vAlign w:val="center"/>
          </w:tcPr>
          <w:p>
            <w:pPr>
              <w:pStyle w:val="13"/>
            </w:pPr>
            <w:r>
              <w:t>正式出版著作是否符合事实社会状态</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群众对地方志编写工作的满意度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5、政府办广告牌租赁费绩效目标表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13062824P00DAM010004K</w:t>
            </w:r>
          </w:p>
        </w:tc>
        <w:tc>
          <w:tcPr>
            <w:tcW w:w="2835" w:type="dxa"/>
            <w:vAlign w:val="center"/>
          </w:tcPr>
          <w:p>
            <w:pPr>
              <w:pStyle w:val="11"/>
            </w:pPr>
            <w:r>
              <w:t>项目名称</w:t>
            </w:r>
          </w:p>
        </w:tc>
        <w:tc>
          <w:tcPr>
            <w:tcW w:w="6094" w:type="dxa"/>
            <w:gridSpan w:val="3"/>
            <w:vAlign w:val="center"/>
          </w:tcPr>
          <w:p>
            <w:pPr>
              <w:pStyle w:val="13"/>
            </w:pPr>
            <w:r>
              <w:t>政府办广告牌租赁费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25.50</w:t>
            </w:r>
          </w:p>
        </w:tc>
        <w:tc>
          <w:tcPr>
            <w:tcW w:w="2835" w:type="dxa"/>
            <w:vAlign w:val="center"/>
          </w:tcPr>
          <w:p>
            <w:pPr>
              <w:pStyle w:val="11"/>
            </w:pPr>
            <w:r>
              <w:t>其中：财政    资金</w:t>
            </w:r>
          </w:p>
        </w:tc>
        <w:tc>
          <w:tcPr>
            <w:tcW w:w="2551" w:type="dxa"/>
            <w:vAlign w:val="center"/>
          </w:tcPr>
          <w:p>
            <w:pPr>
              <w:pStyle w:val="13"/>
            </w:pPr>
            <w:r>
              <w:t>25.50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用于广告牌租赁等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1.突出政务、加强事务、提升服务；加大社会主义核心价值观宣传力度。</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开办宣传专栏次数</w:t>
            </w:r>
          </w:p>
        </w:tc>
        <w:tc>
          <w:tcPr>
            <w:tcW w:w="5386" w:type="dxa"/>
            <w:vAlign w:val="center"/>
          </w:tcPr>
          <w:p>
            <w:pPr>
              <w:pStyle w:val="13"/>
            </w:pPr>
            <w:r>
              <w:t>开展宣传活动数量</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宣传到位率</w:t>
            </w:r>
          </w:p>
        </w:tc>
        <w:tc>
          <w:tcPr>
            <w:tcW w:w="5386" w:type="dxa"/>
            <w:vAlign w:val="center"/>
          </w:tcPr>
          <w:p>
            <w:pPr>
              <w:pStyle w:val="13"/>
            </w:pPr>
            <w:r>
              <w:t>相关政策普及率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宣传政策及时率</w:t>
            </w:r>
          </w:p>
        </w:tc>
        <w:tc>
          <w:tcPr>
            <w:tcW w:w="5386" w:type="dxa"/>
            <w:vAlign w:val="center"/>
          </w:tcPr>
          <w:p>
            <w:pPr>
              <w:pStyle w:val="13"/>
            </w:pPr>
            <w:r>
              <w:t>时事政策宣传占总宣传的比例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宣传影响覆盖率</w:t>
            </w:r>
          </w:p>
        </w:tc>
        <w:tc>
          <w:tcPr>
            <w:tcW w:w="5386" w:type="dxa"/>
            <w:vAlign w:val="center"/>
          </w:tcPr>
          <w:p>
            <w:pPr>
              <w:pStyle w:val="13"/>
            </w:pPr>
            <w:r>
              <w:t>社群受影响覆盖面</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6、政府办金融工作经费绩效目标表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13062824P0090JB10004L</w:t>
            </w:r>
          </w:p>
        </w:tc>
        <w:tc>
          <w:tcPr>
            <w:tcW w:w="2835" w:type="dxa"/>
            <w:vAlign w:val="center"/>
          </w:tcPr>
          <w:p>
            <w:pPr>
              <w:pStyle w:val="11"/>
            </w:pPr>
            <w:r>
              <w:t>项目名称</w:t>
            </w:r>
          </w:p>
        </w:tc>
        <w:tc>
          <w:tcPr>
            <w:tcW w:w="6094" w:type="dxa"/>
            <w:gridSpan w:val="3"/>
            <w:vAlign w:val="center"/>
          </w:tcPr>
          <w:p>
            <w:pPr>
              <w:pStyle w:val="13"/>
            </w:pPr>
            <w:r>
              <w:t>政府办金融工作经费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用于金融办支出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1.协调化解不利于金融业发展的矛盾和问题；配合国家金融管理机构对县内金融机构的监管；维护全县金融秩序，协助做好全县金融风险的防范化解。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监督检查的对象数量</w:t>
            </w:r>
          </w:p>
        </w:tc>
        <w:tc>
          <w:tcPr>
            <w:tcW w:w="5386" w:type="dxa"/>
            <w:vAlign w:val="center"/>
          </w:tcPr>
          <w:p>
            <w:pPr>
              <w:pStyle w:val="13"/>
            </w:pPr>
            <w:r>
              <w:t>监管对象数量</w:t>
            </w:r>
          </w:p>
        </w:tc>
        <w:tc>
          <w:tcPr>
            <w:tcW w:w="2268" w:type="dxa"/>
            <w:vAlign w:val="center"/>
          </w:tcPr>
          <w:p>
            <w:pPr>
              <w:pStyle w:val="13"/>
            </w:pPr>
            <w:r>
              <w:t>≥4个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监督检查率</w:t>
            </w:r>
          </w:p>
        </w:tc>
        <w:tc>
          <w:tcPr>
            <w:tcW w:w="5386" w:type="dxa"/>
            <w:vAlign w:val="center"/>
          </w:tcPr>
          <w:p>
            <w:pPr>
              <w:pStyle w:val="13"/>
            </w:pPr>
            <w:r>
              <w:t>实际开展监督检查的对象数量占应监管对象总数的比率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监督检查的及时性</w:t>
            </w:r>
          </w:p>
        </w:tc>
        <w:tc>
          <w:tcPr>
            <w:tcW w:w="5386" w:type="dxa"/>
            <w:vAlign w:val="center"/>
          </w:tcPr>
          <w:p>
            <w:pPr>
              <w:pStyle w:val="13"/>
            </w:pPr>
            <w:r>
              <w:t>是否及时解决金融业发展过程重的问题</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重大舆情监测覆盖率</w:t>
            </w:r>
          </w:p>
        </w:tc>
        <w:tc>
          <w:tcPr>
            <w:tcW w:w="5386" w:type="dxa"/>
            <w:vAlign w:val="center"/>
          </w:tcPr>
          <w:p>
            <w:pPr>
              <w:pStyle w:val="13"/>
            </w:pPr>
            <w:r>
              <w:t>重大舆情监测数量占总数量的比率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服务对象的满意率</w:t>
            </w:r>
          </w:p>
        </w:tc>
        <w:tc>
          <w:tcPr>
            <w:tcW w:w="5386" w:type="dxa"/>
            <w:vAlign w:val="center"/>
          </w:tcPr>
          <w:p>
            <w:pPr>
              <w:pStyle w:val="13"/>
            </w:pPr>
            <w:r>
              <w:t>群众对非法集资宣传度的满意率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7、政府办网络光纤租用费绩效目标表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13062824P00D3K510004B</w:t>
            </w:r>
          </w:p>
        </w:tc>
        <w:tc>
          <w:tcPr>
            <w:tcW w:w="2835" w:type="dxa"/>
            <w:vAlign w:val="center"/>
          </w:tcPr>
          <w:p>
            <w:pPr>
              <w:pStyle w:val="11"/>
            </w:pPr>
            <w:r>
              <w:t>项目名称</w:t>
            </w:r>
          </w:p>
        </w:tc>
        <w:tc>
          <w:tcPr>
            <w:tcW w:w="6094" w:type="dxa"/>
            <w:gridSpan w:val="3"/>
            <w:vAlign w:val="center"/>
          </w:tcPr>
          <w:p>
            <w:pPr>
              <w:pStyle w:val="13"/>
            </w:pPr>
            <w:r>
              <w:t>政府办网络光纤租用费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24.64</w:t>
            </w:r>
          </w:p>
        </w:tc>
        <w:tc>
          <w:tcPr>
            <w:tcW w:w="2835" w:type="dxa"/>
            <w:vAlign w:val="center"/>
          </w:tcPr>
          <w:p>
            <w:pPr>
              <w:pStyle w:val="11"/>
            </w:pPr>
            <w:r>
              <w:t>其中：财政    资金</w:t>
            </w:r>
          </w:p>
        </w:tc>
        <w:tc>
          <w:tcPr>
            <w:tcW w:w="2551" w:type="dxa"/>
            <w:vAlign w:val="center"/>
          </w:tcPr>
          <w:p>
            <w:pPr>
              <w:pStyle w:val="13"/>
            </w:pPr>
            <w:r>
              <w:t>24.64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完成网络光纤租用，满足政务网络正常运转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1.完成网络光纤租用，满足政务网络正常运转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正常运转率</w:t>
            </w:r>
          </w:p>
        </w:tc>
        <w:tc>
          <w:tcPr>
            <w:tcW w:w="5386" w:type="dxa"/>
            <w:vAlign w:val="center"/>
          </w:tcPr>
          <w:p>
            <w:pPr>
              <w:pStyle w:val="13"/>
            </w:pPr>
            <w:r>
              <w:t>正常工作数占总工作数比例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系统故障次数</w:t>
            </w:r>
          </w:p>
        </w:tc>
        <w:tc>
          <w:tcPr>
            <w:tcW w:w="5386" w:type="dxa"/>
            <w:vAlign w:val="center"/>
          </w:tcPr>
          <w:p>
            <w:pPr>
              <w:pStyle w:val="13"/>
            </w:pPr>
            <w:r>
              <w:t>系统出故障次数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处理业务的及时性</w:t>
            </w:r>
          </w:p>
        </w:tc>
        <w:tc>
          <w:tcPr>
            <w:tcW w:w="5386" w:type="dxa"/>
            <w:vAlign w:val="center"/>
          </w:tcPr>
          <w:p>
            <w:pPr>
              <w:pStyle w:val="13"/>
            </w:pPr>
            <w:r>
              <w:t>及时处理业务数占总处理数</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8、政府法律顾问经费-聘用绩效目标表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13062824P000031100048</w:t>
            </w:r>
          </w:p>
        </w:tc>
        <w:tc>
          <w:tcPr>
            <w:tcW w:w="2835" w:type="dxa"/>
            <w:vAlign w:val="center"/>
          </w:tcPr>
          <w:p>
            <w:pPr>
              <w:pStyle w:val="11"/>
            </w:pPr>
            <w:r>
              <w:t>项目名称</w:t>
            </w:r>
          </w:p>
        </w:tc>
        <w:tc>
          <w:tcPr>
            <w:tcW w:w="6094" w:type="dxa"/>
            <w:gridSpan w:val="3"/>
            <w:vAlign w:val="center"/>
          </w:tcPr>
          <w:p>
            <w:pPr>
              <w:pStyle w:val="13"/>
            </w:pPr>
            <w:r>
              <w:t>政府法律顾问经费-聘用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全面推进依法行政，加强</w:t>
            </w:r>
            <w:r>
              <w:rPr>
                <w:rFonts w:hint="eastAsia"/>
                <w:lang w:eastAsia="zh-CN"/>
              </w:rPr>
              <w:t>法治政府</w:t>
            </w:r>
            <w:r>
              <w:t>建设，聘用2-3家法律顾问。</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1.全面推进依法行政，加强</w:t>
            </w:r>
            <w:r>
              <w:rPr>
                <w:rFonts w:hint="eastAsia"/>
                <w:lang w:eastAsia="zh-CN"/>
              </w:rPr>
              <w:t>法治政府</w:t>
            </w:r>
            <w:r>
              <w:t>建设。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提供法律咨询数量</w:t>
            </w:r>
          </w:p>
        </w:tc>
        <w:tc>
          <w:tcPr>
            <w:tcW w:w="5386" w:type="dxa"/>
            <w:vAlign w:val="center"/>
          </w:tcPr>
          <w:p>
            <w:pPr>
              <w:pStyle w:val="13"/>
            </w:pPr>
            <w:r>
              <w:t>提供法律咨询数量</w:t>
            </w:r>
          </w:p>
        </w:tc>
        <w:tc>
          <w:tcPr>
            <w:tcW w:w="2268" w:type="dxa"/>
            <w:vAlign w:val="center"/>
          </w:tcPr>
          <w:p>
            <w:pPr>
              <w:pStyle w:val="13"/>
            </w:pPr>
            <w:r>
              <w:t>≥2件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法律服务质量</w:t>
            </w:r>
          </w:p>
        </w:tc>
        <w:tc>
          <w:tcPr>
            <w:tcW w:w="5386" w:type="dxa"/>
            <w:vAlign w:val="center"/>
          </w:tcPr>
          <w:p>
            <w:pPr>
              <w:pStyle w:val="13"/>
            </w:pPr>
            <w:r>
              <w:t>问题解决率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任务完成及时率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群众对政府法制建设的满意度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9、政府网站等级保护经费绩效目标表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13062824P00009610002Q</w:t>
            </w:r>
          </w:p>
        </w:tc>
        <w:tc>
          <w:tcPr>
            <w:tcW w:w="2835" w:type="dxa"/>
            <w:vAlign w:val="center"/>
          </w:tcPr>
          <w:p>
            <w:pPr>
              <w:pStyle w:val="11"/>
            </w:pPr>
            <w:r>
              <w:t>项目名称</w:t>
            </w:r>
          </w:p>
        </w:tc>
        <w:tc>
          <w:tcPr>
            <w:tcW w:w="6094" w:type="dxa"/>
            <w:gridSpan w:val="3"/>
            <w:vAlign w:val="center"/>
          </w:tcPr>
          <w:p>
            <w:pPr>
              <w:pStyle w:val="13"/>
            </w:pPr>
            <w:r>
              <w:t>政府网站等级保护经费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实现政府网络等级保护项目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1.整合信息资源，促进各部门共建共享，实现跨部门业务协同，全面提升政务部门的行政效率。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网站安全测评次数</w:t>
            </w:r>
          </w:p>
        </w:tc>
        <w:tc>
          <w:tcPr>
            <w:tcW w:w="5386" w:type="dxa"/>
            <w:vAlign w:val="center"/>
          </w:tcPr>
          <w:p>
            <w:pPr>
              <w:pStyle w:val="13"/>
            </w:pPr>
            <w:r>
              <w:t>每年对政府网站测评次数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网络安全等级</w:t>
            </w:r>
          </w:p>
        </w:tc>
        <w:tc>
          <w:tcPr>
            <w:tcW w:w="5386" w:type="dxa"/>
            <w:vAlign w:val="center"/>
          </w:tcPr>
          <w:p>
            <w:pPr>
              <w:pStyle w:val="13"/>
            </w:pPr>
            <w:r>
              <w:t>网络安全等级保护</w:t>
            </w:r>
          </w:p>
        </w:tc>
        <w:tc>
          <w:tcPr>
            <w:tcW w:w="2268" w:type="dxa"/>
            <w:vAlign w:val="center"/>
          </w:tcPr>
          <w:p>
            <w:pPr>
              <w:pStyle w:val="13"/>
            </w:pPr>
            <w:r>
              <w:t>≥3级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网络维护升级及时性</w:t>
            </w:r>
          </w:p>
        </w:tc>
        <w:tc>
          <w:tcPr>
            <w:tcW w:w="5386" w:type="dxa"/>
            <w:vAlign w:val="center"/>
          </w:tcPr>
          <w:p>
            <w:pPr>
              <w:pStyle w:val="13"/>
            </w:pPr>
            <w:r>
              <w:t>网络维护升级及时性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项目支出成本控制有效性</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网络安全保密程度</w:t>
            </w:r>
          </w:p>
        </w:tc>
        <w:tc>
          <w:tcPr>
            <w:tcW w:w="5386" w:type="dxa"/>
            <w:vAlign w:val="center"/>
          </w:tcPr>
          <w:p>
            <w:pPr>
              <w:pStyle w:val="13"/>
            </w:pPr>
            <w:r>
              <w:t>网络安全保密程度</w:t>
            </w:r>
          </w:p>
        </w:tc>
        <w:tc>
          <w:tcPr>
            <w:tcW w:w="2268" w:type="dxa"/>
            <w:vAlign w:val="center"/>
          </w:tcPr>
          <w:p>
            <w:pPr>
              <w:pStyle w:val="13"/>
            </w:pPr>
            <w:r>
              <w:t>≥99%</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群众对政府网站稳定的满意率</w:t>
            </w:r>
          </w:p>
        </w:tc>
        <w:tc>
          <w:tcPr>
            <w:tcW w:w="2268" w:type="dxa"/>
            <w:vAlign w:val="center"/>
          </w:tcPr>
          <w:p>
            <w:pPr>
              <w:pStyle w:val="13"/>
            </w:pPr>
            <w:r>
              <w:t>≥97%</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10、政府项目投资经费绩效目标表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13062824P00010210002Q</w:t>
            </w:r>
          </w:p>
        </w:tc>
        <w:tc>
          <w:tcPr>
            <w:tcW w:w="2835" w:type="dxa"/>
            <w:vAlign w:val="center"/>
          </w:tcPr>
          <w:p>
            <w:pPr>
              <w:pStyle w:val="11"/>
            </w:pPr>
            <w:r>
              <w:t>项目名称</w:t>
            </w:r>
          </w:p>
        </w:tc>
        <w:tc>
          <w:tcPr>
            <w:tcW w:w="6094" w:type="dxa"/>
            <w:gridSpan w:val="3"/>
            <w:vAlign w:val="center"/>
          </w:tcPr>
          <w:p>
            <w:pPr>
              <w:pStyle w:val="13"/>
            </w:pPr>
            <w:r>
              <w:t>政府项目投资经费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用于政府投资项目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1.加强政府投资项目管理，健全科学、高效的项目决策机制，提高政府投资效益，推动经济社会高质量发展。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项目实施数量</w:t>
            </w:r>
          </w:p>
        </w:tc>
        <w:tc>
          <w:tcPr>
            <w:tcW w:w="5386" w:type="dxa"/>
            <w:vAlign w:val="center"/>
          </w:tcPr>
          <w:p>
            <w:pPr>
              <w:pStyle w:val="13"/>
            </w:pPr>
            <w:r>
              <w:t>项目实施数量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项目实施质量</w:t>
            </w:r>
          </w:p>
        </w:tc>
        <w:tc>
          <w:tcPr>
            <w:tcW w:w="5386" w:type="dxa"/>
            <w:vAlign w:val="center"/>
          </w:tcPr>
          <w:p>
            <w:pPr>
              <w:pStyle w:val="13"/>
            </w:pPr>
            <w:r>
              <w:t>项目实施质量</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任务完成及时率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项目支出成本控制有效性</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服务对象的满意率</w:t>
            </w:r>
          </w:p>
        </w:tc>
        <w:tc>
          <w:tcPr>
            <w:tcW w:w="5386" w:type="dxa"/>
            <w:vAlign w:val="center"/>
          </w:tcPr>
          <w:p>
            <w:pPr>
              <w:pStyle w:val="13"/>
            </w:pPr>
            <w:r>
              <w:t>群众对政府投资项目的满意率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11、政府信息公开平台、财政预决算平台建设维护项目绩效目标表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13062824P00010010004L</w:t>
            </w:r>
          </w:p>
        </w:tc>
        <w:tc>
          <w:tcPr>
            <w:tcW w:w="2835" w:type="dxa"/>
            <w:vAlign w:val="center"/>
          </w:tcPr>
          <w:p>
            <w:pPr>
              <w:pStyle w:val="11"/>
            </w:pPr>
            <w:r>
              <w:t>项目名称</w:t>
            </w:r>
          </w:p>
        </w:tc>
        <w:tc>
          <w:tcPr>
            <w:tcW w:w="6094" w:type="dxa"/>
            <w:gridSpan w:val="3"/>
            <w:vAlign w:val="center"/>
          </w:tcPr>
          <w:p>
            <w:pPr>
              <w:pStyle w:val="13"/>
            </w:pPr>
            <w:r>
              <w:t>政府信息公开平台、财政预决算平台建设维护项目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政府信息公开平台、财政预决算平台改版建设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1.完成政府信息公开平台、财政预决算平台改版建设，完善信息公开平台，提升电子政务工作效率。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平台测评次数</w:t>
            </w:r>
          </w:p>
        </w:tc>
        <w:tc>
          <w:tcPr>
            <w:tcW w:w="5386" w:type="dxa"/>
            <w:vAlign w:val="center"/>
          </w:tcPr>
          <w:p>
            <w:pPr>
              <w:pStyle w:val="13"/>
            </w:pPr>
            <w:r>
              <w:t>每年对信息公开平台、财政预决算平台测评次数</w:t>
            </w:r>
          </w:p>
        </w:tc>
        <w:tc>
          <w:tcPr>
            <w:tcW w:w="2268" w:type="dxa"/>
            <w:vAlign w:val="center"/>
          </w:tcPr>
          <w:p>
            <w:pPr>
              <w:pStyle w:val="13"/>
            </w:pPr>
            <w:r>
              <w:t>≥3次</w:t>
            </w:r>
          </w:p>
        </w:tc>
        <w:tc>
          <w:tcPr>
            <w:tcW w:w="1276" w:type="dxa"/>
            <w:vAlign w:val="center"/>
          </w:tcPr>
          <w:p>
            <w:pPr>
              <w:pStyle w:val="13"/>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网站呈现效果</w:t>
            </w:r>
          </w:p>
        </w:tc>
        <w:tc>
          <w:tcPr>
            <w:tcW w:w="5386" w:type="dxa"/>
            <w:vAlign w:val="center"/>
          </w:tcPr>
          <w:p>
            <w:pPr>
              <w:pStyle w:val="13"/>
            </w:pPr>
            <w:r>
              <w:t>网站呈现效果与预期效果的比率</w:t>
            </w:r>
          </w:p>
        </w:tc>
        <w:tc>
          <w:tcPr>
            <w:tcW w:w="2268" w:type="dxa"/>
            <w:vAlign w:val="center"/>
          </w:tcPr>
          <w:p>
            <w:pPr>
              <w:pStyle w:val="13"/>
            </w:pPr>
            <w:r>
              <w:t>≥98%</w:t>
            </w:r>
          </w:p>
        </w:tc>
        <w:tc>
          <w:tcPr>
            <w:tcW w:w="1276" w:type="dxa"/>
            <w:vAlign w:val="center"/>
          </w:tcPr>
          <w:p>
            <w:pPr>
              <w:pStyle w:val="13"/>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网站维护升级及时性</w:t>
            </w:r>
          </w:p>
        </w:tc>
        <w:tc>
          <w:tcPr>
            <w:tcW w:w="5386" w:type="dxa"/>
            <w:vAlign w:val="center"/>
          </w:tcPr>
          <w:p>
            <w:pPr>
              <w:pStyle w:val="13"/>
            </w:pPr>
            <w:r>
              <w:t>网站维护升级及时性</w:t>
            </w:r>
          </w:p>
        </w:tc>
        <w:tc>
          <w:tcPr>
            <w:tcW w:w="2268" w:type="dxa"/>
            <w:vAlign w:val="center"/>
          </w:tcPr>
          <w:p>
            <w:pPr>
              <w:pStyle w:val="13"/>
            </w:pPr>
            <w:r>
              <w:t>≥95%</w:t>
            </w:r>
          </w:p>
        </w:tc>
        <w:tc>
          <w:tcPr>
            <w:tcW w:w="1276" w:type="dxa"/>
            <w:vAlign w:val="center"/>
          </w:tcPr>
          <w:p>
            <w:pPr>
              <w:pStyle w:val="13"/>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项目支出成本控制有效性</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群众对政府信息公开的满意率</w:t>
            </w:r>
          </w:p>
        </w:tc>
        <w:tc>
          <w:tcPr>
            <w:tcW w:w="2268" w:type="dxa"/>
            <w:vAlign w:val="center"/>
          </w:tcPr>
          <w:p>
            <w:pPr>
              <w:pStyle w:val="13"/>
            </w:pPr>
            <w:r>
              <w:t>≥90%</w:t>
            </w:r>
          </w:p>
        </w:tc>
        <w:tc>
          <w:tcPr>
            <w:tcW w:w="1276" w:type="dxa"/>
            <w:vAlign w:val="center"/>
          </w:tcPr>
          <w:p>
            <w:pPr>
              <w:pStyle w:val="13"/>
            </w:pPr>
            <w:r>
              <w:t>平台上线标准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12、政务服务便民热线经费-劳务派遣绩效目标表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13062824P00016510003Q</w:t>
            </w:r>
          </w:p>
        </w:tc>
        <w:tc>
          <w:tcPr>
            <w:tcW w:w="2835" w:type="dxa"/>
            <w:vAlign w:val="center"/>
          </w:tcPr>
          <w:p>
            <w:pPr>
              <w:pStyle w:val="11"/>
            </w:pPr>
            <w:r>
              <w:t>项目名称</w:t>
            </w:r>
          </w:p>
        </w:tc>
        <w:tc>
          <w:tcPr>
            <w:tcW w:w="6094" w:type="dxa"/>
            <w:gridSpan w:val="3"/>
            <w:vAlign w:val="center"/>
          </w:tcPr>
          <w:p>
            <w:pPr>
              <w:pStyle w:val="13"/>
            </w:pPr>
            <w:r>
              <w:t>政务服务便民热线经费-劳务派遣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用于热线办劳务派遣人员、提升热线办服务质量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 优化我县12345热线运行机制，进一步提高热线办结率、满意率和整体水平，提升便民服务效率。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接收工单数</w:t>
            </w:r>
          </w:p>
        </w:tc>
        <w:tc>
          <w:tcPr>
            <w:tcW w:w="5386" w:type="dxa"/>
            <w:vAlign w:val="center"/>
          </w:tcPr>
          <w:p>
            <w:pPr>
              <w:pStyle w:val="13"/>
            </w:pPr>
            <w:r>
              <w:t>接受热线工单数</w:t>
            </w:r>
          </w:p>
        </w:tc>
        <w:tc>
          <w:tcPr>
            <w:tcW w:w="2268" w:type="dxa"/>
            <w:vAlign w:val="center"/>
          </w:tcPr>
          <w:p>
            <w:pPr>
              <w:pStyle w:val="13"/>
            </w:pPr>
            <w:r>
              <w:t>≥1000次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系统故障率</w:t>
            </w:r>
          </w:p>
        </w:tc>
        <w:tc>
          <w:tcPr>
            <w:tcW w:w="5386" w:type="dxa"/>
            <w:vAlign w:val="center"/>
          </w:tcPr>
          <w:p>
            <w:pPr>
              <w:pStyle w:val="13"/>
            </w:pPr>
            <w:r>
              <w:t>系统故障次数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业务处理及时性</w:t>
            </w:r>
          </w:p>
        </w:tc>
        <w:tc>
          <w:tcPr>
            <w:tcW w:w="5386" w:type="dxa"/>
            <w:vAlign w:val="center"/>
          </w:tcPr>
          <w:p>
            <w:pPr>
              <w:pStyle w:val="13"/>
            </w:pPr>
            <w:r>
              <w:t>及时处理业务数占总处理数的比率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p>
            <w:pPr>
              <w:pStyle w:val="13"/>
            </w:pP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满意度指标</w:t>
            </w:r>
          </w:p>
        </w:tc>
        <w:tc>
          <w:tcPr>
            <w:tcW w:w="5386" w:type="dxa"/>
            <w:vAlign w:val="center"/>
          </w:tcPr>
          <w:p>
            <w:pPr>
              <w:pStyle w:val="13"/>
            </w:pPr>
            <w:r>
              <w:t>群众对反映问题解决的满意率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434高阳县人民政府办公室</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高阳县人民政府办公室（含所属单位）上年末固定资产金额为478.37万元（详见下表）。本年度拟购置固定资产总额为</w:t>
      </w:r>
      <w:r>
        <w:rPr>
          <w:rFonts w:hint="eastAsia" w:eastAsia="方正仿宋_GBK" w:cs="Times New Roman"/>
          <w:b w:val="0"/>
          <w:color w:val="000000"/>
          <w:sz w:val="28"/>
          <w:lang w:val="en-US" w:eastAsia="zh-CN"/>
        </w:rPr>
        <w:t>13</w:t>
      </w:r>
      <w:r>
        <w:rPr>
          <w:rFonts w:ascii="Times New Roman" w:hAnsi="Times New Roman" w:eastAsia="方正仿宋_GBK" w:cs="Times New Roman"/>
          <w:b w:val="0"/>
          <w:color w:val="000000"/>
          <w:sz w:val="28"/>
        </w:rPr>
        <w:t>.0</w:t>
      </w:r>
      <w:r>
        <w:rPr>
          <w:rFonts w:hint="eastAsia" w:eastAsia="方正仿宋_GBK" w:cs="Times New Roman"/>
          <w:b w:val="0"/>
          <w:color w:val="000000"/>
          <w:sz w:val="28"/>
          <w:lang w:val="en-US" w:eastAsia="zh-CN"/>
        </w:rPr>
        <w:t>9</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没有达到政府采购标准，不在政府采购预算体现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434高阳县人民政府办公室</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478.37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31</w:t>
            </w:r>
          </w:p>
        </w:tc>
        <w:tc>
          <w:tcPr>
            <w:tcW w:w="2835" w:type="dxa"/>
            <w:vAlign w:val="center"/>
          </w:tcPr>
          <w:p>
            <w:pPr>
              <w:pStyle w:val="12"/>
            </w:pPr>
            <w:r>
              <w:t>385.98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375</w:t>
            </w:r>
          </w:p>
        </w:tc>
        <w:tc>
          <w:tcPr>
            <w:tcW w:w="2835" w:type="dxa"/>
            <w:vAlign w:val="center"/>
          </w:tcPr>
          <w:p>
            <w:pPr>
              <w:pStyle w:val="12"/>
            </w:pPr>
            <w:r>
              <w:t>92.39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51FF7"/>
    <w:multiLevelType w:val="singleLevel"/>
    <w:tmpl w:val="E4851FF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B002ED"/>
    <w:rsid w:val="20FA5636"/>
    <w:rsid w:val="316B71CA"/>
    <w:rsid w:val="4CCB7AE2"/>
    <w:rsid w:val="60603747"/>
    <w:rsid w:val="670365E1"/>
    <w:rsid w:val="75F53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2024-02-08T16:33:20Z</dcterms:created>
  <dcterms:modified xsi:type="dcterms:W3CDTF">2024-02-08T08:33:20Z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2024-02-08T16:33:19Z</dcterms:created>
  <dcterms:modified xsi:type="dcterms:W3CDTF">2024-02-08T08:33:19Z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2024-02-08T16:33:22Z</dcterms:created>
  <dcterms:modified xsi:type="dcterms:W3CDTF">2024-02-08T08:33:22Z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2024-02-08T16:33:22Z</dcterms:created>
  <dcterms:modified xsi:type="dcterms:W3CDTF">2024-02-08T08:33:22Z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2024-02-08T16:33:22Z</dcterms:created>
  <dcterms:modified xsi:type="dcterms:W3CDTF">2024-02-08T08:33:22Z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2024-02-08T16:33:22Z</dcterms:created>
  <dcterms:modified xsi:type="dcterms:W3CDTF">2024-02-08T08:33:22Z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2024-02-08T16:33:21Z</dcterms:created>
  <dcterms:modified xsi:type="dcterms:W3CDTF">2024-02-08T08:33:21Z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2024-02-08T16:33:21Z</dcterms:created>
  <dcterms:modified xsi:type="dcterms:W3CDTF">2024-02-08T08:33:21Z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2024-02-08T16:33:21Z</dcterms:created>
  <dcterms:modified xsi:type="dcterms:W3CDTF">2024-02-08T08:33:21Z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2024-02-08T16:33:21Z</dcterms:created>
  <dcterms:modified xsi:type="dcterms:W3CDTF">2024-02-08T08:33:21Z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2024-02-08T16:33:20Z</dcterms:created>
  <dcterms:modified xsi:type="dcterms:W3CDTF">2024-02-08T08:33:20Z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2024-02-08T16:33:19Z</dcterms:created>
  <dcterms:modified xsi:type="dcterms:W3CDTF">2024-02-08T08:33:19Z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2024-02-08T16:33:20Z</dcterms:created>
  <dcterms:modified xsi:type="dcterms:W3CDTF">2024-02-08T08:33:20Z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2024-02-08T16:33:16Z</dcterms:created>
  <dcterms:modified xsi:type="dcterms:W3CDTF">2024-02-08T08:33:16Z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2024-02-08T16:33:19Z</dcterms:created>
  <dcterms:modified xsi:type="dcterms:W3CDTF">2024-02-08T08:33:19Z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2024-02-08T16:33:23Z</dcterms:created>
  <dcterms:modified xsi:type="dcterms:W3CDTF">2024-02-08T08:33:23Z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c9a18f7-ed77-4a35-80fe-7e19853881d5}">
  <ds:schemaRefs/>
</ds:datastoreItem>
</file>

<file path=customXml/itemProps10.xml><?xml version="1.0" encoding="utf-8"?>
<ds:datastoreItem xmlns:ds="http://schemas.openxmlformats.org/officeDocument/2006/customXml" ds:itemID="{7ea5239c-ad47-4cdb-aea9-9f5e09ae9c02}">
  <ds:schemaRefs/>
</ds:datastoreItem>
</file>

<file path=customXml/itemProps11.xml><?xml version="1.0" encoding="utf-8"?>
<ds:datastoreItem xmlns:ds="http://schemas.openxmlformats.org/officeDocument/2006/customXml" ds:itemID="{b0a25f62-1b60-4d50-8ae9-cb9d89a448ba}">
  <ds:schemaRefs/>
</ds:datastoreItem>
</file>

<file path=customXml/itemProps12.xml><?xml version="1.0" encoding="utf-8"?>
<ds:datastoreItem xmlns:ds="http://schemas.openxmlformats.org/officeDocument/2006/customXml" ds:itemID="{c1ebb17f-8ce1-4427-96dd-d6e3843e0feb}">
  <ds:schemaRefs/>
</ds:datastoreItem>
</file>

<file path=customXml/itemProps13.xml><?xml version="1.0" encoding="utf-8"?>
<ds:datastoreItem xmlns:ds="http://schemas.openxmlformats.org/officeDocument/2006/customXml" ds:itemID="{3718a753-6d21-4ae9-88d8-0a4dd2b2b861}">
  <ds:schemaRefs/>
</ds:datastoreItem>
</file>

<file path=customXml/itemProps14.xml><?xml version="1.0" encoding="utf-8"?>
<ds:datastoreItem xmlns:ds="http://schemas.openxmlformats.org/officeDocument/2006/customXml" ds:itemID="{67ca2c76-f7e3-4efa-aa6c-6c1b938a5c3c}">
  <ds:schemaRefs/>
</ds:datastoreItem>
</file>

<file path=customXml/itemProps15.xml><?xml version="1.0" encoding="utf-8"?>
<ds:datastoreItem xmlns:ds="http://schemas.openxmlformats.org/officeDocument/2006/customXml" ds:itemID="{fdbd67f8-965c-4611-8a4d-df9c6e5fecfc}">
  <ds:schemaRefs/>
</ds:datastoreItem>
</file>

<file path=customXml/itemProps16.xml><?xml version="1.0" encoding="utf-8"?>
<ds:datastoreItem xmlns:ds="http://schemas.openxmlformats.org/officeDocument/2006/customXml" ds:itemID="{57bb858c-e9b1-4f74-8779-4a7d93b80b20}">
  <ds:schemaRefs/>
</ds:datastoreItem>
</file>

<file path=customXml/itemProps17.xml><?xml version="1.0" encoding="utf-8"?>
<ds:datastoreItem xmlns:ds="http://schemas.openxmlformats.org/officeDocument/2006/customXml" ds:itemID="{239ed59a-3e65-4941-a079-9d87795c25c6}">
  <ds:schemaRefs/>
</ds:datastoreItem>
</file>

<file path=customXml/itemProps18.xml><?xml version="1.0" encoding="utf-8"?>
<ds:datastoreItem xmlns:ds="http://schemas.openxmlformats.org/officeDocument/2006/customXml" ds:itemID="{7a01c80e-751a-4bfa-ab15-be028558eebd}">
  <ds:schemaRefs/>
</ds:datastoreItem>
</file>

<file path=customXml/itemProps19.xml><?xml version="1.0" encoding="utf-8"?>
<ds:datastoreItem xmlns:ds="http://schemas.openxmlformats.org/officeDocument/2006/customXml" ds:itemID="{900fa929-46e5-4bb2-8e5a-1da9c1d342c7}">
  <ds:schemaRefs/>
</ds:datastoreItem>
</file>

<file path=customXml/itemProps2.xml><?xml version="1.0" encoding="utf-8"?>
<ds:datastoreItem xmlns:ds="http://schemas.openxmlformats.org/officeDocument/2006/customXml" ds:itemID="{3c068810-d8d0-4566-9095-3ecf400ee0e4}">
  <ds:schemaRefs/>
</ds:datastoreItem>
</file>

<file path=customXml/itemProps20.xml><?xml version="1.0" encoding="utf-8"?>
<ds:datastoreItem xmlns:ds="http://schemas.openxmlformats.org/officeDocument/2006/customXml" ds:itemID="{9c80fe51-06db-4826-b9bf-f7119299323a}">
  <ds:schemaRefs/>
</ds:datastoreItem>
</file>

<file path=customXml/itemProps21.xml><?xml version="1.0" encoding="utf-8"?>
<ds:datastoreItem xmlns:ds="http://schemas.openxmlformats.org/officeDocument/2006/customXml" ds:itemID="{461a8d27-c947-4e0f-9711-5be2998c7c6e}">
  <ds:schemaRefs/>
</ds:datastoreItem>
</file>

<file path=customXml/itemProps22.xml><?xml version="1.0" encoding="utf-8"?>
<ds:datastoreItem xmlns:ds="http://schemas.openxmlformats.org/officeDocument/2006/customXml" ds:itemID="{fbe9d166-1c2e-4338-947c-a4172555d1bb}">
  <ds:schemaRefs/>
</ds:datastoreItem>
</file>

<file path=customXml/itemProps23.xml><?xml version="1.0" encoding="utf-8"?>
<ds:datastoreItem xmlns:ds="http://schemas.openxmlformats.org/officeDocument/2006/customXml" ds:itemID="{e648e14d-f32d-4519-ba27-18c6a0ad2620}">
  <ds:schemaRefs/>
</ds:datastoreItem>
</file>

<file path=customXml/itemProps24.xml><?xml version="1.0" encoding="utf-8"?>
<ds:datastoreItem xmlns:ds="http://schemas.openxmlformats.org/officeDocument/2006/customXml" ds:itemID="{99505425-2034-4451-8a37-35693df8e2e2}">
  <ds:schemaRefs/>
</ds:datastoreItem>
</file>

<file path=customXml/itemProps25.xml><?xml version="1.0" encoding="utf-8"?>
<ds:datastoreItem xmlns:ds="http://schemas.openxmlformats.org/officeDocument/2006/customXml" ds:itemID="{f312ac9f-6353-45cf-b4c8-b94888cc2dcd}">
  <ds:schemaRefs/>
</ds:datastoreItem>
</file>

<file path=customXml/itemProps26.xml><?xml version="1.0" encoding="utf-8"?>
<ds:datastoreItem xmlns:ds="http://schemas.openxmlformats.org/officeDocument/2006/customXml" ds:itemID="{22311ceb-3ac3-437c-869e-d9ddb206c8ec}">
  <ds:schemaRefs/>
</ds:datastoreItem>
</file>

<file path=customXml/itemProps27.xml><?xml version="1.0" encoding="utf-8"?>
<ds:datastoreItem xmlns:ds="http://schemas.openxmlformats.org/officeDocument/2006/customXml" ds:itemID="{df4ea99a-b244-467d-893d-fac4d2cc7f5e}">
  <ds:schemaRefs/>
</ds:datastoreItem>
</file>

<file path=customXml/itemProps28.xml><?xml version="1.0" encoding="utf-8"?>
<ds:datastoreItem xmlns:ds="http://schemas.openxmlformats.org/officeDocument/2006/customXml" ds:itemID="{f1aa4b31-426f-4112-9085-d6cf4cdfe5d2}">
  <ds:schemaRefs/>
</ds:datastoreItem>
</file>

<file path=customXml/itemProps29.xml><?xml version="1.0" encoding="utf-8"?>
<ds:datastoreItem xmlns:ds="http://schemas.openxmlformats.org/officeDocument/2006/customXml" ds:itemID="{ea0fbb85-0eca-440d-b20d-60c59d2120ec}">
  <ds:schemaRefs/>
</ds:datastoreItem>
</file>

<file path=customXml/itemProps3.xml><?xml version="1.0" encoding="utf-8"?>
<ds:datastoreItem xmlns:ds="http://schemas.openxmlformats.org/officeDocument/2006/customXml" ds:itemID="{291669e5-b621-4cda-98cb-36fd1a0ad001}">
  <ds:schemaRefs/>
</ds:datastoreItem>
</file>

<file path=customXml/itemProps30.xml><?xml version="1.0" encoding="utf-8"?>
<ds:datastoreItem xmlns:ds="http://schemas.openxmlformats.org/officeDocument/2006/customXml" ds:itemID="{2c461d3a-6b3b-4ee9-8d7e-c4e23b03adc0}">
  <ds:schemaRefs/>
</ds:datastoreItem>
</file>

<file path=customXml/itemProps31.xml><?xml version="1.0" encoding="utf-8"?>
<ds:datastoreItem xmlns:ds="http://schemas.openxmlformats.org/officeDocument/2006/customXml" ds:itemID="{3251f8bd-8963-4872-b687-beb7b6cf4490}">
  <ds:schemaRefs/>
</ds:datastoreItem>
</file>

<file path=customXml/itemProps32.xml><?xml version="1.0" encoding="utf-8"?>
<ds:datastoreItem xmlns:ds="http://schemas.openxmlformats.org/officeDocument/2006/customXml" ds:itemID="{4d434d6f-81fb-48e3-84f0-b70bea9a4105}">
  <ds:schemaRefs/>
</ds:datastoreItem>
</file>

<file path=customXml/itemProps4.xml><?xml version="1.0" encoding="utf-8"?>
<ds:datastoreItem xmlns:ds="http://schemas.openxmlformats.org/officeDocument/2006/customXml" ds:itemID="{4d29ef42-620c-4159-a681-17cbcd658e23}">
  <ds:schemaRefs/>
</ds:datastoreItem>
</file>

<file path=customXml/itemProps5.xml><?xml version="1.0" encoding="utf-8"?>
<ds:datastoreItem xmlns:ds="http://schemas.openxmlformats.org/officeDocument/2006/customXml" ds:itemID="{39a752fd-5b8e-451f-851a-b629166605fc}">
  <ds:schemaRefs/>
</ds:datastoreItem>
</file>

<file path=customXml/itemProps6.xml><?xml version="1.0" encoding="utf-8"?>
<ds:datastoreItem xmlns:ds="http://schemas.openxmlformats.org/officeDocument/2006/customXml" ds:itemID="{298863e8-1153-4666-ac1e-d74029f078bb}">
  <ds:schemaRefs/>
</ds:datastoreItem>
</file>

<file path=customXml/itemProps7.xml><?xml version="1.0" encoding="utf-8"?>
<ds:datastoreItem xmlns:ds="http://schemas.openxmlformats.org/officeDocument/2006/customXml" ds:itemID="{87860d35-d143-4910-946d-1007015f6186}">
  <ds:schemaRefs/>
</ds:datastoreItem>
</file>

<file path=customXml/itemProps8.xml><?xml version="1.0" encoding="utf-8"?>
<ds:datastoreItem xmlns:ds="http://schemas.openxmlformats.org/officeDocument/2006/customXml" ds:itemID="{f221ceef-8eb9-4c73-a443-672e63f26a5d}">
  <ds:schemaRefs/>
</ds:datastoreItem>
</file>

<file path=customXml/itemProps9.xml><?xml version="1.0" encoding="utf-8"?>
<ds:datastoreItem xmlns:ds="http://schemas.openxmlformats.org/officeDocument/2006/customXml" ds:itemID="{f9c41c4a-9ad1-4dd0-ad89-02c827f0cf70}">
  <ds:schemaRefs/>
</ds:datastoreItem>
</file>

<file path=docProps/app.xml><?xml version="1.0" encoding="utf-8"?>
<Properties xmlns="http://schemas.openxmlformats.org/officeDocument/2006/extended-properties" xmlns:vt="http://schemas.openxmlformats.org/officeDocument/2006/docPropsVTypes">
  <Pages>48</Pages>
  <Words>12697</Words>
  <Characters>15082</Characters>
  <TotalTime>1</TotalTime>
  <ScaleCrop>false</ScaleCrop>
  <LinksUpToDate>false</LinksUpToDate>
  <CharactersWithSpaces>15342</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2024-02-08T16:33:00Z</dcterms:created>
  <dc:creator>86186</dc:creator>
  <cp:lastModifiedBy>清扬婉兮</cp:lastModifiedBy>
  <dcterms:modified xsi:type="dcterms:W3CDTF">2024-08-19T02:18:20Z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C98FF4EDDDEA4BF99358FFC423BFD42C</vt:lpwstr>
  </property>
</Properties>
</file>