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一、高阳县人民政府办公室收支预算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一、高阳县人民政府办公室收支预算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434001高阳县人民政府办公室</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1591.22</w:t>
            </w:r>
          </w:p>
        </w:tc>
        <w:tc>
          <w:tcPr>
            <w:tcW w:w="4535" w:type="dxa"/>
            <w:vAlign w:val="center"/>
          </w:tcPr>
          <w:p>
            <w:pPr>
              <w:pStyle w:val="12"/>
            </w:pPr>
            <w:r>
              <w:t>一、一般公共服务支出</w:t>
            </w:r>
          </w:p>
        </w:tc>
        <w:tc>
          <w:tcPr>
            <w:tcW w:w="2126" w:type="dxa"/>
            <w:vAlign w:val="center"/>
          </w:tcPr>
          <w:p>
            <w:pPr>
              <w:pStyle w:val="11"/>
            </w:pPr>
            <w:r>
              <w:t>1462.69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1591.22</w:t>
            </w:r>
          </w:p>
        </w:tc>
        <w:tc>
          <w:tcPr>
            <w:tcW w:w="4535" w:type="dxa"/>
            <w:vAlign w:val="center"/>
          </w:tcPr>
          <w:p>
            <w:pPr>
              <w:pStyle w:val="14"/>
            </w:pPr>
            <w:r>
              <w:t>本年支出合计</w:t>
            </w:r>
          </w:p>
        </w:tc>
        <w:tc>
          <w:tcPr>
            <w:tcW w:w="2126" w:type="dxa"/>
            <w:vAlign w:val="center"/>
          </w:tcPr>
          <w:p>
            <w:pPr>
              <w:pStyle w:val="15"/>
            </w:pPr>
            <w:r>
              <w:t>1591.22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1591.22</w:t>
            </w:r>
          </w:p>
        </w:tc>
        <w:tc>
          <w:tcPr>
            <w:tcW w:w="4535" w:type="dxa"/>
            <w:vAlign w:val="center"/>
          </w:tcPr>
          <w:p>
            <w:pPr>
              <w:pStyle w:val="14"/>
            </w:pPr>
            <w:r>
              <w:t>支出总计</w:t>
            </w:r>
          </w:p>
        </w:tc>
        <w:tc>
          <w:tcPr>
            <w:tcW w:w="2126" w:type="dxa"/>
            <w:vAlign w:val="center"/>
          </w:tcPr>
          <w:p>
            <w:pPr>
              <w:pStyle w:val="15"/>
            </w:pPr>
            <w:r>
              <w:t>1591.22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434001高阳县人民政府办公室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1591.22</w:t>
            </w:r>
          </w:p>
        </w:tc>
        <w:tc>
          <w:tcPr>
            <w:tcW w:w="1134" w:type="dxa"/>
            <w:vAlign w:val="center"/>
          </w:tcPr>
          <w:p>
            <w:pPr>
              <w:pStyle w:val="15"/>
            </w:pPr>
            <w:r>
              <w:t>1591.22</w:t>
            </w:r>
          </w:p>
        </w:tc>
        <w:tc>
          <w:tcPr>
            <w:tcW w:w="1134" w:type="dxa"/>
            <w:vAlign w:val="center"/>
          </w:tcPr>
          <w:p>
            <w:pPr>
              <w:pStyle w:val="15"/>
            </w:pPr>
            <w:r>
              <w:t>1591.22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1462.69</w:t>
            </w:r>
          </w:p>
        </w:tc>
        <w:tc>
          <w:tcPr>
            <w:tcW w:w="1134" w:type="dxa"/>
            <w:vAlign w:val="center"/>
          </w:tcPr>
          <w:p>
            <w:pPr>
              <w:pStyle w:val="11"/>
            </w:pPr>
            <w:r>
              <w:t>1462.69</w:t>
            </w:r>
          </w:p>
        </w:tc>
        <w:tc>
          <w:tcPr>
            <w:tcW w:w="1134" w:type="dxa"/>
            <w:vAlign w:val="center"/>
          </w:tcPr>
          <w:p>
            <w:pPr>
              <w:pStyle w:val="11"/>
            </w:pPr>
            <w:r>
              <w:t>1462.69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1462.69</w:t>
            </w:r>
          </w:p>
        </w:tc>
        <w:tc>
          <w:tcPr>
            <w:tcW w:w="1134" w:type="dxa"/>
            <w:vAlign w:val="center"/>
          </w:tcPr>
          <w:p>
            <w:pPr>
              <w:pStyle w:val="11"/>
            </w:pPr>
            <w:r>
              <w:t>1462.69</w:t>
            </w:r>
          </w:p>
        </w:tc>
        <w:tc>
          <w:tcPr>
            <w:tcW w:w="1134" w:type="dxa"/>
            <w:vAlign w:val="center"/>
          </w:tcPr>
          <w:p>
            <w:pPr>
              <w:pStyle w:val="11"/>
            </w:pPr>
            <w:r>
              <w:t>1462.69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796.55</w:t>
            </w:r>
          </w:p>
        </w:tc>
        <w:tc>
          <w:tcPr>
            <w:tcW w:w="1134" w:type="dxa"/>
            <w:vAlign w:val="center"/>
          </w:tcPr>
          <w:p>
            <w:pPr>
              <w:pStyle w:val="11"/>
            </w:pPr>
            <w:r>
              <w:t>796.55</w:t>
            </w:r>
          </w:p>
        </w:tc>
        <w:tc>
          <w:tcPr>
            <w:tcW w:w="1134" w:type="dxa"/>
            <w:vAlign w:val="center"/>
          </w:tcPr>
          <w:p>
            <w:pPr>
              <w:pStyle w:val="11"/>
            </w:pPr>
            <w:r>
              <w:t>796.55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526.14</w:t>
            </w:r>
          </w:p>
        </w:tc>
        <w:tc>
          <w:tcPr>
            <w:tcW w:w="1134" w:type="dxa"/>
            <w:vAlign w:val="center"/>
          </w:tcPr>
          <w:p>
            <w:pPr>
              <w:pStyle w:val="11"/>
            </w:pPr>
            <w:r>
              <w:t>526.14</w:t>
            </w:r>
          </w:p>
        </w:tc>
        <w:tc>
          <w:tcPr>
            <w:tcW w:w="1134" w:type="dxa"/>
            <w:vAlign w:val="center"/>
          </w:tcPr>
          <w:p>
            <w:pPr>
              <w:pStyle w:val="11"/>
            </w:pPr>
            <w:r>
              <w:t>526.14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140.00</w:t>
            </w:r>
          </w:p>
        </w:tc>
        <w:tc>
          <w:tcPr>
            <w:tcW w:w="1134" w:type="dxa"/>
            <w:vAlign w:val="center"/>
          </w:tcPr>
          <w:p>
            <w:pPr>
              <w:pStyle w:val="11"/>
            </w:pPr>
            <w:r>
              <w:t>140.00</w:t>
            </w:r>
          </w:p>
        </w:tc>
        <w:tc>
          <w:tcPr>
            <w:tcW w:w="1134" w:type="dxa"/>
            <w:vAlign w:val="center"/>
          </w:tcPr>
          <w:p>
            <w:pPr>
              <w:pStyle w:val="11"/>
            </w:pPr>
            <w:r>
              <w:t>140.00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78.03</w:t>
            </w:r>
          </w:p>
        </w:tc>
        <w:tc>
          <w:tcPr>
            <w:tcW w:w="1134" w:type="dxa"/>
            <w:vAlign w:val="center"/>
          </w:tcPr>
          <w:p>
            <w:pPr>
              <w:pStyle w:val="11"/>
            </w:pPr>
            <w:r>
              <w:t>78.03</w:t>
            </w:r>
          </w:p>
        </w:tc>
        <w:tc>
          <w:tcPr>
            <w:tcW w:w="1134" w:type="dxa"/>
            <w:vAlign w:val="center"/>
          </w:tcPr>
          <w:p>
            <w:pPr>
              <w:pStyle w:val="11"/>
            </w:pPr>
            <w:r>
              <w:t>78.03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69.87</w:t>
            </w:r>
          </w:p>
        </w:tc>
        <w:tc>
          <w:tcPr>
            <w:tcW w:w="1134" w:type="dxa"/>
            <w:vAlign w:val="center"/>
          </w:tcPr>
          <w:p>
            <w:pPr>
              <w:pStyle w:val="11"/>
            </w:pPr>
            <w:r>
              <w:t>69.87</w:t>
            </w:r>
          </w:p>
        </w:tc>
        <w:tc>
          <w:tcPr>
            <w:tcW w:w="1134" w:type="dxa"/>
            <w:vAlign w:val="center"/>
          </w:tcPr>
          <w:p>
            <w:pPr>
              <w:pStyle w:val="11"/>
            </w:pPr>
            <w:r>
              <w:t>69.87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r>
              <w:t>47.61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r>
              <w:t>31.10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bookmarkStart w:id="1" w:name="OLE_LINK1" w:colFirst="3" w:colLast="5"/>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1591.22</w:t>
            </w:r>
          </w:p>
        </w:tc>
        <w:tc>
          <w:tcPr>
            <w:tcW w:w="1361" w:type="dxa"/>
            <w:vAlign w:val="center"/>
          </w:tcPr>
          <w:p>
            <w:pPr>
              <w:pStyle w:val="15"/>
            </w:pPr>
            <w:r>
              <w:t>925.08</w:t>
            </w:r>
          </w:p>
        </w:tc>
        <w:tc>
          <w:tcPr>
            <w:tcW w:w="1361" w:type="dxa"/>
            <w:vAlign w:val="center"/>
          </w:tcPr>
          <w:p>
            <w:pPr>
              <w:pStyle w:val="15"/>
            </w:pPr>
            <w:r>
              <w:t>666.14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bookmarkEnd w:id="1"/>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1462.69</w:t>
            </w:r>
          </w:p>
        </w:tc>
        <w:tc>
          <w:tcPr>
            <w:tcW w:w="1361" w:type="dxa"/>
            <w:vAlign w:val="center"/>
          </w:tcPr>
          <w:p>
            <w:pPr>
              <w:pStyle w:val="11"/>
            </w:pPr>
            <w:r>
              <w:t>796.55</w:t>
            </w:r>
          </w:p>
        </w:tc>
        <w:tc>
          <w:tcPr>
            <w:tcW w:w="1361" w:type="dxa"/>
            <w:vAlign w:val="center"/>
          </w:tcPr>
          <w:p>
            <w:pPr>
              <w:pStyle w:val="11"/>
            </w:pPr>
            <w:r>
              <w:t>666.14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1462.69</w:t>
            </w:r>
          </w:p>
        </w:tc>
        <w:tc>
          <w:tcPr>
            <w:tcW w:w="1361" w:type="dxa"/>
            <w:vAlign w:val="center"/>
          </w:tcPr>
          <w:p>
            <w:pPr>
              <w:pStyle w:val="11"/>
            </w:pPr>
            <w:r>
              <w:t>796.55</w:t>
            </w:r>
          </w:p>
        </w:tc>
        <w:tc>
          <w:tcPr>
            <w:tcW w:w="1361" w:type="dxa"/>
            <w:vAlign w:val="center"/>
          </w:tcPr>
          <w:p>
            <w:pPr>
              <w:pStyle w:val="11"/>
            </w:pPr>
            <w:r>
              <w:t>666.14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796.55</w:t>
            </w:r>
          </w:p>
        </w:tc>
        <w:tc>
          <w:tcPr>
            <w:tcW w:w="1361" w:type="dxa"/>
            <w:vAlign w:val="center"/>
          </w:tcPr>
          <w:p>
            <w:pPr>
              <w:pStyle w:val="11"/>
            </w:pPr>
            <w:r>
              <w:t>796.55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526.14</w:t>
            </w:r>
          </w:p>
        </w:tc>
        <w:tc>
          <w:tcPr>
            <w:tcW w:w="1361" w:type="dxa"/>
            <w:vAlign w:val="center"/>
          </w:tcPr>
          <w:p>
            <w:pPr>
              <w:pStyle w:val="11"/>
            </w:pPr>
          </w:p>
        </w:tc>
        <w:tc>
          <w:tcPr>
            <w:tcW w:w="1361" w:type="dxa"/>
            <w:vAlign w:val="center"/>
          </w:tcPr>
          <w:p>
            <w:pPr>
              <w:pStyle w:val="11"/>
            </w:pPr>
            <w:r>
              <w:t>526.14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140.00</w:t>
            </w:r>
          </w:p>
        </w:tc>
        <w:tc>
          <w:tcPr>
            <w:tcW w:w="1361" w:type="dxa"/>
            <w:vAlign w:val="center"/>
          </w:tcPr>
          <w:p>
            <w:pPr>
              <w:pStyle w:val="11"/>
            </w:pPr>
          </w:p>
        </w:tc>
        <w:tc>
          <w:tcPr>
            <w:tcW w:w="1361" w:type="dxa"/>
            <w:vAlign w:val="center"/>
          </w:tcPr>
          <w:p>
            <w:pPr>
              <w:pStyle w:val="11"/>
            </w:pPr>
            <w:r>
              <w:t>140.00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78.03</w:t>
            </w:r>
          </w:p>
        </w:tc>
        <w:tc>
          <w:tcPr>
            <w:tcW w:w="1361" w:type="dxa"/>
            <w:vAlign w:val="center"/>
          </w:tcPr>
          <w:p>
            <w:pPr>
              <w:pStyle w:val="11"/>
            </w:pPr>
            <w:r>
              <w:t>78.03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69.87</w:t>
            </w:r>
          </w:p>
        </w:tc>
        <w:tc>
          <w:tcPr>
            <w:tcW w:w="1361" w:type="dxa"/>
            <w:vAlign w:val="center"/>
          </w:tcPr>
          <w:p>
            <w:pPr>
              <w:pStyle w:val="11"/>
            </w:pPr>
            <w:r>
              <w:t>69.87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47.61</w:t>
            </w:r>
          </w:p>
        </w:tc>
        <w:tc>
          <w:tcPr>
            <w:tcW w:w="1361" w:type="dxa"/>
            <w:vAlign w:val="center"/>
          </w:tcPr>
          <w:p>
            <w:pPr>
              <w:pStyle w:val="11"/>
            </w:pPr>
            <w:r>
              <w:t>47.61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22.26</w:t>
            </w:r>
          </w:p>
        </w:tc>
        <w:tc>
          <w:tcPr>
            <w:tcW w:w="1361" w:type="dxa"/>
            <w:vAlign w:val="center"/>
          </w:tcPr>
          <w:p>
            <w:pPr>
              <w:pStyle w:val="11"/>
            </w:pPr>
            <w:r>
              <w:t>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8.16</w:t>
            </w:r>
          </w:p>
        </w:tc>
        <w:tc>
          <w:tcPr>
            <w:tcW w:w="1361" w:type="dxa"/>
            <w:vAlign w:val="center"/>
          </w:tcPr>
          <w:p>
            <w:pPr>
              <w:pStyle w:val="11"/>
            </w:pPr>
            <w:r>
              <w:t>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8.16</w:t>
            </w:r>
          </w:p>
        </w:tc>
        <w:tc>
          <w:tcPr>
            <w:tcW w:w="1361" w:type="dxa"/>
            <w:vAlign w:val="center"/>
          </w:tcPr>
          <w:p>
            <w:pPr>
              <w:pStyle w:val="11"/>
            </w:pPr>
            <w:r>
              <w:t>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19.40</w:t>
            </w:r>
          </w:p>
        </w:tc>
        <w:tc>
          <w:tcPr>
            <w:tcW w:w="1361" w:type="dxa"/>
            <w:vAlign w:val="center"/>
          </w:tcPr>
          <w:p>
            <w:pPr>
              <w:pStyle w:val="11"/>
            </w:pPr>
            <w:r>
              <w:t>19.40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19.40</w:t>
            </w:r>
          </w:p>
        </w:tc>
        <w:tc>
          <w:tcPr>
            <w:tcW w:w="1361" w:type="dxa"/>
            <w:vAlign w:val="center"/>
          </w:tcPr>
          <w:p>
            <w:pPr>
              <w:pStyle w:val="11"/>
            </w:pPr>
            <w:r>
              <w:t>19.40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19.40</w:t>
            </w:r>
          </w:p>
        </w:tc>
        <w:tc>
          <w:tcPr>
            <w:tcW w:w="1361" w:type="dxa"/>
            <w:vAlign w:val="center"/>
          </w:tcPr>
          <w:p>
            <w:pPr>
              <w:pStyle w:val="11"/>
            </w:pPr>
            <w:r>
              <w:t>19.40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31.10</w:t>
            </w:r>
          </w:p>
        </w:tc>
        <w:tc>
          <w:tcPr>
            <w:tcW w:w="1361" w:type="dxa"/>
            <w:vAlign w:val="center"/>
          </w:tcPr>
          <w:p>
            <w:pPr>
              <w:pStyle w:val="11"/>
            </w:pPr>
            <w:r>
              <w:t>31.10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31.10</w:t>
            </w:r>
          </w:p>
        </w:tc>
        <w:tc>
          <w:tcPr>
            <w:tcW w:w="1361" w:type="dxa"/>
            <w:vAlign w:val="center"/>
          </w:tcPr>
          <w:p>
            <w:pPr>
              <w:pStyle w:val="11"/>
            </w:pPr>
            <w:r>
              <w:t>31.10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31.10</w:t>
            </w:r>
          </w:p>
        </w:tc>
        <w:tc>
          <w:tcPr>
            <w:tcW w:w="1361" w:type="dxa"/>
            <w:vAlign w:val="center"/>
          </w:tcPr>
          <w:p>
            <w:pPr>
              <w:pStyle w:val="11"/>
            </w:pPr>
            <w:r>
              <w:t>31.10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1591.22</w:t>
            </w:r>
          </w:p>
        </w:tc>
        <w:tc>
          <w:tcPr>
            <w:tcW w:w="3402" w:type="dxa"/>
            <w:vAlign w:val="center"/>
          </w:tcPr>
          <w:p>
            <w:pPr>
              <w:pStyle w:val="12"/>
            </w:pPr>
            <w:r>
              <w:t>一、一般公共服务支出</w:t>
            </w:r>
          </w:p>
        </w:tc>
        <w:tc>
          <w:tcPr>
            <w:tcW w:w="1474" w:type="dxa"/>
            <w:vAlign w:val="center"/>
          </w:tcPr>
          <w:p>
            <w:pPr>
              <w:pStyle w:val="11"/>
            </w:pPr>
            <w:r>
              <w:t>1462.69</w:t>
            </w:r>
          </w:p>
        </w:tc>
        <w:tc>
          <w:tcPr>
            <w:tcW w:w="1474" w:type="dxa"/>
            <w:vAlign w:val="center"/>
          </w:tcPr>
          <w:p>
            <w:pPr>
              <w:pStyle w:val="11"/>
            </w:pPr>
            <w:r>
              <w:t>1462.69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78.03</w:t>
            </w:r>
          </w:p>
        </w:tc>
        <w:tc>
          <w:tcPr>
            <w:tcW w:w="1474" w:type="dxa"/>
            <w:vAlign w:val="center"/>
          </w:tcPr>
          <w:p>
            <w:pPr>
              <w:pStyle w:val="11"/>
            </w:pPr>
            <w:r>
              <w:t>78.03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19.40</w:t>
            </w:r>
          </w:p>
        </w:tc>
        <w:tc>
          <w:tcPr>
            <w:tcW w:w="1474" w:type="dxa"/>
            <w:vAlign w:val="center"/>
          </w:tcPr>
          <w:p>
            <w:pPr>
              <w:pStyle w:val="11"/>
            </w:pPr>
            <w:r>
              <w:t>19.40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31.10</w:t>
            </w:r>
          </w:p>
        </w:tc>
        <w:tc>
          <w:tcPr>
            <w:tcW w:w="1474" w:type="dxa"/>
            <w:vAlign w:val="center"/>
          </w:tcPr>
          <w:p>
            <w:pPr>
              <w:pStyle w:val="11"/>
            </w:pPr>
            <w:r>
              <w:t>31.10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1591.22</w:t>
            </w:r>
          </w:p>
        </w:tc>
        <w:tc>
          <w:tcPr>
            <w:tcW w:w="3402" w:type="dxa"/>
            <w:vAlign w:val="center"/>
          </w:tcPr>
          <w:p>
            <w:pPr>
              <w:pStyle w:val="14"/>
            </w:pPr>
            <w:r>
              <w:t>本年支出合计</w:t>
            </w:r>
          </w:p>
        </w:tc>
        <w:tc>
          <w:tcPr>
            <w:tcW w:w="1474" w:type="dxa"/>
            <w:vAlign w:val="center"/>
          </w:tcPr>
          <w:p>
            <w:pPr>
              <w:pStyle w:val="15"/>
            </w:pPr>
            <w:r>
              <w:t>1591.22</w:t>
            </w:r>
          </w:p>
        </w:tc>
        <w:tc>
          <w:tcPr>
            <w:tcW w:w="1474" w:type="dxa"/>
            <w:vAlign w:val="center"/>
          </w:tcPr>
          <w:p>
            <w:pPr>
              <w:pStyle w:val="15"/>
            </w:pPr>
            <w:r>
              <w:t>1591.22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1591.22</w:t>
            </w:r>
          </w:p>
        </w:tc>
        <w:tc>
          <w:tcPr>
            <w:tcW w:w="3402" w:type="dxa"/>
            <w:vAlign w:val="center"/>
          </w:tcPr>
          <w:p>
            <w:pPr>
              <w:pStyle w:val="14"/>
            </w:pPr>
            <w:r>
              <w:t>支出总计</w:t>
            </w:r>
          </w:p>
        </w:tc>
        <w:tc>
          <w:tcPr>
            <w:tcW w:w="1474" w:type="dxa"/>
            <w:vAlign w:val="center"/>
          </w:tcPr>
          <w:p>
            <w:pPr>
              <w:pStyle w:val="15"/>
            </w:pPr>
            <w:r>
              <w:t>1591.22</w:t>
            </w:r>
          </w:p>
        </w:tc>
        <w:tc>
          <w:tcPr>
            <w:tcW w:w="1474" w:type="dxa"/>
            <w:vAlign w:val="center"/>
          </w:tcPr>
          <w:p>
            <w:pPr>
              <w:pStyle w:val="15"/>
            </w:pPr>
            <w:r>
              <w:t>1591.22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1591.22</w:t>
            </w:r>
          </w:p>
        </w:tc>
        <w:tc>
          <w:tcPr>
            <w:tcW w:w="2551" w:type="dxa"/>
            <w:vAlign w:val="center"/>
          </w:tcPr>
          <w:p>
            <w:pPr>
              <w:pStyle w:val="15"/>
            </w:pPr>
            <w:r>
              <w:t>925.08</w:t>
            </w:r>
          </w:p>
        </w:tc>
        <w:tc>
          <w:tcPr>
            <w:tcW w:w="2551" w:type="dxa"/>
            <w:vAlign w:val="center"/>
          </w:tcPr>
          <w:p>
            <w:pPr>
              <w:pStyle w:val="15"/>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1462.69</w:t>
            </w:r>
          </w:p>
        </w:tc>
        <w:tc>
          <w:tcPr>
            <w:tcW w:w="2551" w:type="dxa"/>
            <w:vAlign w:val="center"/>
          </w:tcPr>
          <w:p>
            <w:pPr>
              <w:pStyle w:val="11"/>
            </w:pPr>
            <w:r>
              <w:t>796.55</w:t>
            </w:r>
          </w:p>
        </w:tc>
        <w:tc>
          <w:tcPr>
            <w:tcW w:w="2551" w:type="dxa"/>
            <w:vAlign w:val="center"/>
          </w:tcPr>
          <w:p>
            <w:pPr>
              <w:pStyle w:val="11"/>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1462.69</w:t>
            </w:r>
          </w:p>
        </w:tc>
        <w:tc>
          <w:tcPr>
            <w:tcW w:w="2551" w:type="dxa"/>
            <w:vAlign w:val="center"/>
          </w:tcPr>
          <w:p>
            <w:pPr>
              <w:pStyle w:val="11"/>
            </w:pPr>
            <w:r>
              <w:t>796.55</w:t>
            </w:r>
          </w:p>
        </w:tc>
        <w:tc>
          <w:tcPr>
            <w:tcW w:w="2551" w:type="dxa"/>
            <w:vAlign w:val="center"/>
          </w:tcPr>
          <w:p>
            <w:pPr>
              <w:pStyle w:val="11"/>
            </w:pPr>
            <w:r>
              <w:t>666.14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796.55</w:t>
            </w:r>
          </w:p>
        </w:tc>
        <w:tc>
          <w:tcPr>
            <w:tcW w:w="2551" w:type="dxa"/>
            <w:vAlign w:val="center"/>
          </w:tcPr>
          <w:p>
            <w:pPr>
              <w:pStyle w:val="11"/>
            </w:pPr>
            <w:r>
              <w:t>796.55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526.14</w:t>
            </w:r>
          </w:p>
        </w:tc>
        <w:tc>
          <w:tcPr>
            <w:tcW w:w="2551" w:type="dxa"/>
            <w:vAlign w:val="center"/>
          </w:tcPr>
          <w:p>
            <w:pPr>
              <w:pStyle w:val="11"/>
            </w:pPr>
          </w:p>
        </w:tc>
        <w:tc>
          <w:tcPr>
            <w:tcW w:w="2551" w:type="dxa"/>
            <w:vAlign w:val="center"/>
          </w:tcPr>
          <w:p>
            <w:pPr>
              <w:pStyle w:val="11"/>
            </w:pPr>
            <w:r>
              <w:t>526.14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140.00</w:t>
            </w:r>
          </w:p>
        </w:tc>
        <w:tc>
          <w:tcPr>
            <w:tcW w:w="2551" w:type="dxa"/>
            <w:vAlign w:val="center"/>
          </w:tcPr>
          <w:p>
            <w:pPr>
              <w:pStyle w:val="11"/>
            </w:pPr>
          </w:p>
        </w:tc>
        <w:tc>
          <w:tcPr>
            <w:tcW w:w="2551"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78.03</w:t>
            </w:r>
          </w:p>
        </w:tc>
        <w:tc>
          <w:tcPr>
            <w:tcW w:w="2551" w:type="dxa"/>
            <w:vAlign w:val="center"/>
          </w:tcPr>
          <w:p>
            <w:pPr>
              <w:pStyle w:val="11"/>
            </w:pPr>
            <w:r>
              <w:t>78.03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69.87</w:t>
            </w:r>
          </w:p>
        </w:tc>
        <w:tc>
          <w:tcPr>
            <w:tcW w:w="2551" w:type="dxa"/>
            <w:vAlign w:val="center"/>
          </w:tcPr>
          <w:p>
            <w:pPr>
              <w:pStyle w:val="11"/>
            </w:pPr>
            <w:r>
              <w:t>69.87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47.61</w:t>
            </w:r>
          </w:p>
        </w:tc>
        <w:tc>
          <w:tcPr>
            <w:tcW w:w="2551" w:type="dxa"/>
            <w:vAlign w:val="center"/>
          </w:tcPr>
          <w:p>
            <w:pPr>
              <w:pStyle w:val="11"/>
            </w:pPr>
            <w:r>
              <w:t>47.61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19.40</w:t>
            </w:r>
          </w:p>
        </w:tc>
        <w:tc>
          <w:tcPr>
            <w:tcW w:w="2551" w:type="dxa"/>
            <w:vAlign w:val="center"/>
          </w:tcPr>
          <w:p>
            <w:pPr>
              <w:pStyle w:val="11"/>
            </w:pPr>
            <w:r>
              <w:t>19.40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19.40</w:t>
            </w:r>
          </w:p>
        </w:tc>
        <w:tc>
          <w:tcPr>
            <w:tcW w:w="2551" w:type="dxa"/>
            <w:vAlign w:val="center"/>
          </w:tcPr>
          <w:p>
            <w:pPr>
              <w:pStyle w:val="11"/>
            </w:pPr>
            <w:r>
              <w:t>19.40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19.40</w:t>
            </w:r>
          </w:p>
        </w:tc>
        <w:tc>
          <w:tcPr>
            <w:tcW w:w="2551" w:type="dxa"/>
            <w:vAlign w:val="center"/>
          </w:tcPr>
          <w:p>
            <w:pPr>
              <w:pStyle w:val="11"/>
            </w:pPr>
            <w:r>
              <w:t>19.40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31.10</w:t>
            </w:r>
          </w:p>
        </w:tc>
        <w:tc>
          <w:tcPr>
            <w:tcW w:w="2551" w:type="dxa"/>
            <w:vAlign w:val="center"/>
          </w:tcPr>
          <w:p>
            <w:pPr>
              <w:pStyle w:val="11"/>
            </w:pPr>
            <w:r>
              <w:t>31.10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31.10</w:t>
            </w:r>
          </w:p>
        </w:tc>
        <w:tc>
          <w:tcPr>
            <w:tcW w:w="2551" w:type="dxa"/>
            <w:vAlign w:val="center"/>
          </w:tcPr>
          <w:p>
            <w:pPr>
              <w:pStyle w:val="11"/>
            </w:pPr>
            <w:r>
              <w:t>31.10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31.10</w:t>
            </w:r>
          </w:p>
        </w:tc>
        <w:tc>
          <w:tcPr>
            <w:tcW w:w="2551" w:type="dxa"/>
            <w:vAlign w:val="center"/>
          </w:tcPr>
          <w:p>
            <w:pPr>
              <w:pStyle w:val="11"/>
            </w:pPr>
            <w:r>
              <w:t>31.10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925.08</w:t>
            </w:r>
          </w:p>
        </w:tc>
        <w:tc>
          <w:tcPr>
            <w:tcW w:w="2551" w:type="dxa"/>
            <w:vAlign w:val="center"/>
          </w:tcPr>
          <w:p>
            <w:pPr>
              <w:pStyle w:val="15"/>
            </w:pPr>
            <w:r>
              <w:t>503.55</w:t>
            </w:r>
          </w:p>
        </w:tc>
        <w:tc>
          <w:tcPr>
            <w:tcW w:w="2551" w:type="dxa"/>
            <w:vAlign w:val="center"/>
          </w:tcPr>
          <w:p>
            <w:pPr>
              <w:pStyle w:val="15"/>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443.16</w:t>
            </w:r>
          </w:p>
        </w:tc>
        <w:tc>
          <w:tcPr>
            <w:tcW w:w="2551" w:type="dxa"/>
            <w:vAlign w:val="center"/>
          </w:tcPr>
          <w:p>
            <w:pPr>
              <w:pStyle w:val="11"/>
            </w:pPr>
            <w:r>
              <w:t>443.16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174.27</w:t>
            </w:r>
          </w:p>
        </w:tc>
        <w:tc>
          <w:tcPr>
            <w:tcW w:w="2551" w:type="dxa"/>
            <w:vAlign w:val="center"/>
          </w:tcPr>
          <w:p>
            <w:pPr>
              <w:pStyle w:val="11"/>
            </w:pPr>
            <w:r>
              <w:t>174.27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64.35</w:t>
            </w:r>
          </w:p>
        </w:tc>
        <w:tc>
          <w:tcPr>
            <w:tcW w:w="2551" w:type="dxa"/>
            <w:vAlign w:val="center"/>
          </w:tcPr>
          <w:p>
            <w:pPr>
              <w:pStyle w:val="11"/>
            </w:pPr>
            <w:r>
              <w:t>64.35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40.52</w:t>
            </w:r>
          </w:p>
        </w:tc>
        <w:tc>
          <w:tcPr>
            <w:tcW w:w="2551" w:type="dxa"/>
            <w:vAlign w:val="center"/>
          </w:tcPr>
          <w:p>
            <w:pPr>
              <w:pStyle w:val="11"/>
            </w:pPr>
            <w:r>
              <w:t>40.52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40.63</w:t>
            </w:r>
          </w:p>
        </w:tc>
        <w:tc>
          <w:tcPr>
            <w:tcW w:w="2551" w:type="dxa"/>
            <w:vAlign w:val="center"/>
          </w:tcPr>
          <w:p>
            <w:pPr>
              <w:pStyle w:val="11"/>
            </w:pPr>
            <w:r>
              <w:t>40.63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47.61</w:t>
            </w:r>
          </w:p>
        </w:tc>
        <w:tc>
          <w:tcPr>
            <w:tcW w:w="2551" w:type="dxa"/>
            <w:vAlign w:val="center"/>
          </w:tcPr>
          <w:p>
            <w:pPr>
              <w:pStyle w:val="11"/>
            </w:pPr>
            <w:r>
              <w:t>47.61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19.40</w:t>
            </w:r>
          </w:p>
        </w:tc>
        <w:tc>
          <w:tcPr>
            <w:tcW w:w="2551" w:type="dxa"/>
            <w:vAlign w:val="center"/>
          </w:tcPr>
          <w:p>
            <w:pPr>
              <w:pStyle w:val="11"/>
            </w:pPr>
            <w:r>
              <w:t>19.40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3.02</w:t>
            </w:r>
          </w:p>
        </w:tc>
        <w:tc>
          <w:tcPr>
            <w:tcW w:w="2551" w:type="dxa"/>
            <w:vAlign w:val="center"/>
          </w:tcPr>
          <w:p>
            <w:pPr>
              <w:pStyle w:val="11"/>
            </w:pPr>
            <w:r>
              <w:t>3.02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31.10</w:t>
            </w:r>
          </w:p>
        </w:tc>
        <w:tc>
          <w:tcPr>
            <w:tcW w:w="2551" w:type="dxa"/>
            <w:vAlign w:val="center"/>
          </w:tcPr>
          <w:p>
            <w:pPr>
              <w:pStyle w:val="11"/>
            </w:pPr>
            <w:r>
              <w:t>31.10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391.53</w:t>
            </w:r>
          </w:p>
        </w:tc>
        <w:tc>
          <w:tcPr>
            <w:tcW w:w="2551" w:type="dxa"/>
            <w:vAlign w:val="center"/>
          </w:tcPr>
          <w:p>
            <w:pPr>
              <w:pStyle w:val="11"/>
            </w:pPr>
          </w:p>
        </w:tc>
        <w:tc>
          <w:tcPr>
            <w:tcW w:w="2551" w:type="dxa"/>
            <w:vAlign w:val="center"/>
          </w:tcPr>
          <w:p>
            <w:pPr>
              <w:pStyle w:val="11"/>
            </w:pPr>
            <w:r>
              <w:t>391.53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14.98</w:t>
            </w:r>
          </w:p>
        </w:tc>
        <w:tc>
          <w:tcPr>
            <w:tcW w:w="2551" w:type="dxa"/>
            <w:vAlign w:val="center"/>
          </w:tcPr>
          <w:p>
            <w:pPr>
              <w:pStyle w:val="11"/>
            </w:pPr>
          </w:p>
        </w:tc>
        <w:tc>
          <w:tcPr>
            <w:tcW w:w="2551" w:type="dxa"/>
            <w:vAlign w:val="center"/>
          </w:tcPr>
          <w:p>
            <w:pPr>
              <w:pStyle w:val="11"/>
            </w:pPr>
            <w:r>
              <w:t>14.98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16.20</w:t>
            </w:r>
          </w:p>
        </w:tc>
        <w:tc>
          <w:tcPr>
            <w:tcW w:w="2551" w:type="dxa"/>
            <w:vAlign w:val="center"/>
          </w:tcPr>
          <w:p>
            <w:pPr>
              <w:pStyle w:val="11"/>
            </w:pPr>
          </w:p>
        </w:tc>
        <w:tc>
          <w:tcPr>
            <w:tcW w:w="2551" w:type="dxa"/>
            <w:vAlign w:val="center"/>
          </w:tcPr>
          <w:p>
            <w:pPr>
              <w:pStyle w:val="11"/>
            </w:pPr>
            <w:r>
              <w:t>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2.08</w:t>
            </w:r>
          </w:p>
        </w:tc>
        <w:tc>
          <w:tcPr>
            <w:tcW w:w="2551" w:type="dxa"/>
            <w:vAlign w:val="center"/>
          </w:tcPr>
          <w:p>
            <w:pPr>
              <w:pStyle w:val="11"/>
            </w:pPr>
          </w:p>
        </w:tc>
        <w:tc>
          <w:tcPr>
            <w:tcW w:w="2551" w:type="dxa"/>
            <w:vAlign w:val="center"/>
          </w:tcPr>
          <w:p>
            <w:pPr>
              <w:pStyle w:val="11"/>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40.19</w:t>
            </w:r>
          </w:p>
        </w:tc>
        <w:tc>
          <w:tcPr>
            <w:tcW w:w="2551" w:type="dxa"/>
            <w:vAlign w:val="center"/>
          </w:tcPr>
          <w:p>
            <w:pPr>
              <w:pStyle w:val="11"/>
            </w:pPr>
          </w:p>
        </w:tc>
        <w:tc>
          <w:tcPr>
            <w:tcW w:w="2551" w:type="dxa"/>
            <w:vAlign w:val="center"/>
          </w:tcPr>
          <w:p>
            <w:pPr>
              <w:pStyle w:val="11"/>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18.48</w:t>
            </w:r>
          </w:p>
        </w:tc>
        <w:tc>
          <w:tcPr>
            <w:tcW w:w="2551" w:type="dxa"/>
            <w:vAlign w:val="center"/>
          </w:tcPr>
          <w:p>
            <w:pPr>
              <w:pStyle w:val="11"/>
            </w:pPr>
          </w:p>
        </w:tc>
        <w:tc>
          <w:tcPr>
            <w:tcW w:w="2551" w:type="dxa"/>
            <w:vAlign w:val="center"/>
          </w:tcPr>
          <w:p>
            <w:pPr>
              <w:pStyle w:val="11"/>
            </w:pPr>
            <w:r>
              <w:t>18.48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13.60</w:t>
            </w:r>
          </w:p>
        </w:tc>
        <w:tc>
          <w:tcPr>
            <w:tcW w:w="2551" w:type="dxa"/>
            <w:vAlign w:val="center"/>
          </w:tcPr>
          <w:p>
            <w:pPr>
              <w:pStyle w:val="11"/>
            </w:pPr>
          </w:p>
        </w:tc>
        <w:tc>
          <w:tcPr>
            <w:tcW w:w="2551" w:type="dxa"/>
            <w:vAlign w:val="center"/>
          </w:tcPr>
          <w:p>
            <w:pPr>
              <w:pStyle w:val="11"/>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60.39</w:t>
            </w:r>
          </w:p>
        </w:tc>
        <w:tc>
          <w:tcPr>
            <w:tcW w:w="2551" w:type="dxa"/>
            <w:vAlign w:val="center"/>
          </w:tcPr>
          <w:p>
            <w:pPr>
              <w:pStyle w:val="11"/>
            </w:pPr>
            <w:r>
              <w:t>60.39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50.99</w:t>
            </w:r>
          </w:p>
        </w:tc>
        <w:tc>
          <w:tcPr>
            <w:tcW w:w="2551" w:type="dxa"/>
            <w:vAlign w:val="center"/>
          </w:tcPr>
          <w:p>
            <w:pPr>
              <w:pStyle w:val="11"/>
            </w:pPr>
            <w:r>
              <w:t>50.99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9.36</w:t>
            </w:r>
          </w:p>
        </w:tc>
        <w:tc>
          <w:tcPr>
            <w:tcW w:w="2551" w:type="dxa"/>
            <w:vAlign w:val="center"/>
          </w:tcPr>
          <w:p>
            <w:pPr>
              <w:pStyle w:val="11"/>
            </w:pPr>
            <w:r>
              <w:t>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434001高阳县人民政府办公室</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103.19</w:t>
            </w:r>
          </w:p>
        </w:tc>
        <w:tc>
          <w:tcPr>
            <w:tcW w:w="2381" w:type="dxa"/>
            <w:vAlign w:val="center"/>
          </w:tcPr>
          <w:p>
            <w:pPr>
              <w:pStyle w:val="15"/>
            </w:pPr>
            <w:r>
              <w:t>103.19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103.19</w:t>
            </w:r>
          </w:p>
        </w:tc>
        <w:tc>
          <w:tcPr>
            <w:tcW w:w="2381" w:type="dxa"/>
            <w:vAlign w:val="center"/>
          </w:tcPr>
          <w:p>
            <w:pPr>
              <w:pStyle w:val="11"/>
            </w:pPr>
            <w:r>
              <w:t>103.19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63.00</w:t>
            </w:r>
          </w:p>
        </w:tc>
        <w:tc>
          <w:tcPr>
            <w:tcW w:w="2381" w:type="dxa"/>
            <w:vAlign w:val="center"/>
          </w:tcPr>
          <w:p>
            <w:pPr>
              <w:pStyle w:val="11"/>
            </w:pPr>
            <w:r>
              <w:t>63.00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63.00</w:t>
            </w:r>
          </w:p>
        </w:tc>
        <w:tc>
          <w:tcPr>
            <w:tcW w:w="2381" w:type="dxa"/>
            <w:vAlign w:val="center"/>
          </w:tcPr>
          <w:p>
            <w:pPr>
              <w:pStyle w:val="11"/>
            </w:pPr>
            <w:r>
              <w:t>63.00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40.19</w:t>
            </w:r>
          </w:p>
        </w:tc>
        <w:tc>
          <w:tcPr>
            <w:tcW w:w="2381" w:type="dxa"/>
            <w:vAlign w:val="center"/>
          </w:tcPr>
          <w:p>
            <w:pPr>
              <w:pStyle w:val="11"/>
            </w:pPr>
            <w:r>
              <w:t>40.19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高阳县人民政府办公室2024年单位预算信息公开情况说明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按照《中华人民共和国预算法》、《地方预决算公开操作规程》和《关于进一步推进预算公开工作的实施意见》规定，现将高阳县人民政府办公室2024年单位预算公开如下：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根据《高阳县人民政府办公室职能配置、内设机构和人员编制规定》，县政府办的主要职责是:</w:t>
      </w:r>
    </w:p>
    <w:p>
      <w:pPr>
        <w:pStyle w:val="17"/>
      </w:pPr>
      <w:r>
        <w:t>（一）负责县政府会议的准备、组织和服务工作，协助县政府领导落实会议决定的事项。</w:t>
      </w:r>
    </w:p>
    <w:p>
      <w:pPr>
        <w:pStyle w:val="17"/>
      </w:pPr>
      <w:r>
        <w:t>（二）组织起草县政府领导重要讲话及其它重要文稿。</w:t>
      </w:r>
    </w:p>
    <w:p>
      <w:pPr>
        <w:pStyle w:val="17"/>
      </w:pPr>
      <w:r>
        <w:t>（三）根据县政府领导意见，对有关事项进行协调，对部门之间出现的争议问题，提出处理意见，报县政府领导决定。</w:t>
      </w:r>
    </w:p>
    <w:p>
      <w:pPr>
        <w:pStyle w:val="17"/>
      </w:pPr>
      <w:r>
        <w:t>（四）研究县政府各部门和各乡镇（街道办）政府请示县政府的事项，提出审核意见，报县政府领导审批。</w:t>
      </w:r>
    </w:p>
    <w:p>
      <w:pPr>
        <w:pStyle w:val="17"/>
      </w:pPr>
      <w:r>
        <w:t>（五）组织起草或审核上报市政府、市政府办公厅和致函市政府各部门的公文，以及以县政府、县政府办公室名义发布的公文；办理县政府各部门和各乡镇（街道办）政府报送县政府的文电。</w:t>
      </w:r>
    </w:p>
    <w:p>
      <w:pPr>
        <w:pStyle w:val="17"/>
      </w:pPr>
      <w:r>
        <w:t>（六）督促检查县政府各部门和各乡镇（街道办）政府对国务院和省、市、县政府决定事项及领导重要批示的贯彻落实情况，并及时向县政府领导报告。组织好专项督查工作。</w:t>
      </w:r>
    </w:p>
    <w:p>
      <w:pPr>
        <w:pStyle w:val="17"/>
      </w:pPr>
      <w:r>
        <w:t>（七）负责县政府值班工作，及时报告重要情况。负责紧急重要事项的协调上报。</w:t>
      </w:r>
    </w:p>
    <w:p>
      <w:pPr>
        <w:pStyle w:val="17"/>
      </w:pPr>
      <w:r>
        <w:t>（八）围绕全县经济、社会发展和中心工作，按照县委、县政府领导的安排和工作部署，深入调查研究，及时了解、掌握经济和社会发展动态并向县政府领导报告，提出建议。</w:t>
      </w:r>
    </w:p>
    <w:p>
      <w:pPr>
        <w:pStyle w:val="17"/>
      </w:pPr>
      <w:r>
        <w:t>（九）组织承办人大代表建议和政协提案工作。</w:t>
      </w:r>
    </w:p>
    <w:p>
      <w:pPr>
        <w:pStyle w:val="17"/>
      </w:pPr>
      <w:r>
        <w:t>（十）负责政务信息服务工作和县政府系统机关电子政务工作。</w:t>
      </w:r>
    </w:p>
    <w:p>
      <w:pPr>
        <w:pStyle w:val="17"/>
      </w:pPr>
      <w:r>
        <w:t>（十</w:t>
      </w:r>
      <w:r>
        <w:rPr>
          <w:rFonts w:hint="eastAsia"/>
          <w:lang w:val="en-US" w:eastAsia="zh-CN"/>
        </w:rPr>
        <w:t>一</w:t>
      </w:r>
      <w:r>
        <w:t>）负责县志修编和省、市、县年鉴的编纂工作。</w:t>
      </w:r>
    </w:p>
    <w:p>
      <w:pPr>
        <w:pStyle w:val="17"/>
      </w:pPr>
      <w:r>
        <w:t>（十</w:t>
      </w:r>
      <w:r>
        <w:rPr>
          <w:rFonts w:hint="eastAsia"/>
          <w:lang w:val="en-US" w:eastAsia="zh-CN"/>
        </w:rPr>
        <w:t>二</w:t>
      </w:r>
      <w:r>
        <w:t>）负责县政府和县政府办公室的文书处理、档案管理、印信管理和保密工作。</w:t>
      </w:r>
    </w:p>
    <w:p>
      <w:pPr>
        <w:pStyle w:val="17"/>
      </w:pPr>
      <w:r>
        <w:t>（十</w:t>
      </w:r>
      <w:r>
        <w:rPr>
          <w:rFonts w:hint="eastAsia"/>
          <w:lang w:val="en-US" w:eastAsia="zh-CN"/>
        </w:rPr>
        <w:t>三</w:t>
      </w:r>
      <w:r>
        <w:t>）负责县政府办公室系统的行政事务和政务接待工作。</w:t>
      </w:r>
    </w:p>
    <w:p>
      <w:pPr>
        <w:pStyle w:val="17"/>
      </w:pPr>
      <w:r>
        <w:t>（十</w:t>
      </w:r>
      <w:r>
        <w:rPr>
          <w:rFonts w:hint="eastAsia"/>
          <w:lang w:val="en-US" w:eastAsia="zh-CN"/>
        </w:rPr>
        <w:t>四</w:t>
      </w:r>
      <w:r>
        <w:t>）负责受理通过市长专线、短信平台、群众热线对全县政府系统损害行政效能建设、破坏经济发展环境行为的投诉；对投诉事项按程序办理并进行跟踪回馈。</w:t>
      </w:r>
    </w:p>
    <w:p>
      <w:pPr>
        <w:pStyle w:val="17"/>
      </w:pPr>
      <w:r>
        <w:t>（十</w:t>
      </w:r>
      <w:r>
        <w:rPr>
          <w:rFonts w:hint="eastAsia"/>
          <w:lang w:val="en-US" w:eastAsia="zh-CN"/>
        </w:rPr>
        <w:t>五</w:t>
      </w:r>
      <w:r>
        <w:t>）处理群众来信，接待群众来访，及时向县政府领导报告来信来访中提出的重要建议和反映的重要问题，办理县政府领导交办的有关信访、来访事项。</w:t>
      </w:r>
    </w:p>
    <w:p>
      <w:pPr>
        <w:pStyle w:val="17"/>
      </w:pPr>
      <w:r>
        <w:t>（十</w:t>
      </w:r>
      <w:r>
        <w:rPr>
          <w:rFonts w:hint="eastAsia"/>
          <w:lang w:val="en-US" w:eastAsia="zh-CN"/>
        </w:rPr>
        <w:t>六</w:t>
      </w:r>
      <w:r>
        <w:t>）承担县政府办公室地方金融监督管理局（金融工作办公室）工作职责。</w:t>
      </w:r>
    </w:p>
    <w:p>
      <w:pPr>
        <w:pStyle w:val="17"/>
      </w:pPr>
      <w:r>
        <w:t>（十</w:t>
      </w:r>
      <w:r>
        <w:rPr>
          <w:rFonts w:hint="eastAsia"/>
          <w:lang w:val="en-US" w:eastAsia="zh-CN"/>
        </w:rPr>
        <w:t>七</w:t>
      </w:r>
      <w:r>
        <w:t>）承担县政务公开办公室工作职责。</w:t>
      </w:r>
    </w:p>
    <w:p>
      <w:pPr>
        <w:pStyle w:val="17"/>
      </w:pPr>
      <w:r>
        <w:t>（十</w:t>
      </w:r>
      <w:r>
        <w:rPr>
          <w:rFonts w:hint="eastAsia"/>
          <w:lang w:val="en-US" w:eastAsia="zh-CN"/>
        </w:rPr>
        <w:t>八</w:t>
      </w:r>
      <w:r>
        <w:t>）承担县委外事工作委员会办公室的工作职责，负责外事接待工作。</w:t>
      </w:r>
    </w:p>
    <w:p>
      <w:pPr>
        <w:pStyle w:val="17"/>
      </w:pPr>
      <w:r>
        <w:t>（十</w:t>
      </w:r>
      <w:r>
        <w:rPr>
          <w:rFonts w:hint="eastAsia"/>
          <w:lang w:val="en-US" w:eastAsia="zh-CN"/>
        </w:rPr>
        <w:t>九</w:t>
      </w:r>
      <w:r>
        <w:t>）承办县政府领导交办的其它事项。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高阳县人民政府办公室</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按照预算管理有关规定，目前我县部门预算的编制实行综合预算管理，即全部收入和支出都反映在预算中。</w:t>
      </w:r>
    </w:p>
    <w:p>
      <w:pPr>
        <w:pStyle w:val="18"/>
      </w:pPr>
      <w:r>
        <w:t>（一）收入说明</w:t>
      </w:r>
    </w:p>
    <w:p>
      <w:pPr>
        <w:pStyle w:val="18"/>
      </w:pPr>
      <w:r>
        <w:rPr>
          <w:rFonts w:hint="eastAsia"/>
          <w:lang w:val="en-US" w:eastAsia="zh-CN"/>
        </w:rPr>
        <w:t>反映本单位当年全部收入。</w:t>
      </w:r>
      <w:r>
        <w:t>2024年高阳县</w:t>
      </w:r>
      <w:r>
        <w:rPr>
          <w:rFonts w:hint="eastAsia"/>
          <w:lang w:val="en-US" w:eastAsia="zh-CN"/>
        </w:rPr>
        <w:t>人民</w:t>
      </w:r>
      <w:r>
        <w:t>政府办公室年初部门预算收入总额为1591.22万元。按照资金来源，一般预算收入1591.22万元，财政专户拨款0万元，政府性基金收入0万元，其他收入来源0万元。</w:t>
      </w:r>
    </w:p>
    <w:p>
      <w:pPr>
        <w:pStyle w:val="18"/>
      </w:pPr>
      <w:r>
        <w:t>（二）支出说明</w:t>
      </w:r>
    </w:p>
    <w:p>
      <w:pPr>
        <w:pStyle w:val="18"/>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本级年度单位预算中支出预算的总体情况。</w:t>
      </w:r>
      <w:r>
        <w:t>202</w:t>
      </w:r>
      <w:r>
        <w:rPr>
          <w:rFonts w:hint="eastAsia"/>
          <w:lang w:val="en-US" w:eastAsia="zh-CN"/>
        </w:rPr>
        <w:t>4</w:t>
      </w:r>
      <w:r>
        <w:t>年高阳县人民政府办公室支出安排预算总额</w:t>
      </w:r>
      <w:r>
        <w:rPr>
          <w:rFonts w:hint="eastAsia"/>
          <w:lang w:val="en-US" w:eastAsia="zh-CN"/>
        </w:rPr>
        <w:t>1591.22</w:t>
      </w:r>
      <w:r>
        <w:t>万元。</w:t>
      </w:r>
      <w:r>
        <w:rPr>
          <w:rFonts w:hint="eastAsia"/>
          <w:lang w:val="en-US" w:eastAsia="zh-CN"/>
        </w:rPr>
        <w:t>其中</w:t>
      </w:r>
      <w:r>
        <w:t>基本支出</w:t>
      </w:r>
      <w:r>
        <w:rPr>
          <w:rFonts w:hint="eastAsia"/>
          <w:lang w:val="en-US" w:eastAsia="zh-CN"/>
        </w:rPr>
        <w:t>925.08</w:t>
      </w:r>
      <w:r>
        <w:t>万元</w:t>
      </w:r>
      <w:r>
        <w:rPr>
          <w:rFonts w:hint="eastAsia"/>
          <w:lang w:eastAsia="zh-CN"/>
        </w:rPr>
        <w:t>，</w:t>
      </w:r>
      <w:r>
        <w:rPr>
          <w:rFonts w:hint="eastAsia"/>
          <w:lang w:val="en-US" w:eastAsia="zh-CN"/>
        </w:rPr>
        <w:t>包括</w:t>
      </w:r>
      <w:r>
        <w:t>人员经费</w:t>
      </w:r>
      <w:r>
        <w:rPr>
          <w:rFonts w:hint="eastAsia"/>
          <w:lang w:val="en-US" w:eastAsia="zh-CN"/>
        </w:rPr>
        <w:t>503.55</w:t>
      </w:r>
      <w:r>
        <w:t>万元</w:t>
      </w:r>
      <w:r>
        <w:rPr>
          <w:rFonts w:hint="eastAsia"/>
          <w:lang w:val="en-US" w:eastAsia="zh-CN"/>
        </w:rPr>
        <w:t>和</w:t>
      </w:r>
      <w:r>
        <w:t>日常公用经费</w:t>
      </w:r>
      <w:r>
        <w:rPr>
          <w:rFonts w:hint="eastAsia"/>
          <w:lang w:val="en-US" w:eastAsia="zh-CN"/>
        </w:rPr>
        <w:t>421.53</w:t>
      </w:r>
      <w:r>
        <w:t>万元</w:t>
      </w:r>
      <w:r>
        <w:rPr>
          <w:rFonts w:hint="eastAsia"/>
          <w:lang w:eastAsia="zh-CN"/>
        </w:rPr>
        <w:t>。</w:t>
      </w:r>
      <w:r>
        <w:t>项目支出</w:t>
      </w:r>
      <w:r>
        <w:rPr>
          <w:rFonts w:hint="eastAsia"/>
          <w:lang w:val="en-US" w:eastAsia="zh-CN"/>
        </w:rPr>
        <w:t>666.14</w:t>
      </w:r>
      <w:r>
        <w:t>万元</w:t>
      </w:r>
      <w:r>
        <w:rPr>
          <w:rFonts w:hint="eastAsia"/>
          <w:lang w:eastAsia="zh-CN"/>
        </w:rPr>
        <w:t>，</w:t>
      </w:r>
      <w:r>
        <w:t>主要用于OA系统升级项目经费</w:t>
      </w:r>
      <w:r>
        <w:rPr>
          <w:rFonts w:hint="eastAsia"/>
          <w:lang w:val="en-US" w:eastAsia="zh-CN"/>
        </w:rPr>
        <w:t>2</w:t>
      </w:r>
      <w:r>
        <w:t>0万元，高阳县公务用车服务平台车辆经费48万元，</w:t>
      </w:r>
      <w:r>
        <w:rPr>
          <w:rFonts w:ascii="方正仿宋_GBK" w:hAnsi="方正仿宋_GBK" w:eastAsia="方正仿宋_GBK" w:cs="方正仿宋_GBK"/>
          <w:color w:val="000000"/>
          <w:sz w:val="28"/>
        </w:rPr>
        <w:t>高阳县乡村振兴综合整治项目（一期、二期）购买项目管理服务</w:t>
      </w:r>
      <w:r>
        <w:rPr>
          <w:rFonts w:hint="eastAsia"/>
          <w:lang w:val="en-US" w:eastAsia="zh-CN"/>
        </w:rPr>
        <w:t>140</w:t>
      </w:r>
      <w:r>
        <w:rPr>
          <w:rFonts w:hint="eastAsia" w:ascii="方正仿宋_GBK" w:hAnsi="方正仿宋_GBK" w:cs="方正仿宋_GBK"/>
          <w:color w:val="000000"/>
          <w:sz w:val="28"/>
          <w:lang w:val="en-US" w:eastAsia="zh-CN"/>
        </w:rPr>
        <w:t>万元，</w:t>
      </w:r>
      <w:r>
        <w:t>地方志工作1</w:t>
      </w:r>
      <w:r>
        <w:rPr>
          <w:rFonts w:hint="eastAsia"/>
          <w:lang w:val="en-US" w:eastAsia="zh-CN"/>
        </w:rPr>
        <w:t>0</w:t>
      </w:r>
      <w:r>
        <w:t>万元，</w:t>
      </w:r>
      <w:r>
        <w:rPr>
          <w:rFonts w:hint="eastAsia"/>
          <w:lang w:val="en-US" w:eastAsia="zh-CN"/>
        </w:rPr>
        <w:t>政府办</w:t>
      </w:r>
      <w:r>
        <w:t>广告牌租赁费25.5万元，</w:t>
      </w:r>
      <w:r>
        <w:rPr>
          <w:rFonts w:hint="eastAsia"/>
          <w:lang w:val="en-US" w:eastAsia="zh-CN"/>
        </w:rPr>
        <w:t>政府办</w:t>
      </w:r>
      <w:r>
        <w:t>金融工作</w:t>
      </w:r>
      <w:r>
        <w:rPr>
          <w:rFonts w:hint="eastAsia"/>
          <w:lang w:val="en-US" w:eastAsia="zh-CN"/>
        </w:rPr>
        <w:t>经费2</w:t>
      </w:r>
      <w:r>
        <w:t>5万元</w:t>
      </w:r>
      <w:r>
        <w:rPr>
          <w:rFonts w:hint="eastAsia"/>
          <w:lang w:eastAsia="zh-CN"/>
        </w:rPr>
        <w:t>，</w:t>
      </w:r>
      <w:r>
        <w:t>政府办网络光纤租用费24.64万元</w:t>
      </w:r>
      <w:r>
        <w:rPr>
          <w:rFonts w:hint="eastAsia"/>
          <w:lang w:eastAsia="zh-CN"/>
        </w:rPr>
        <w:t>，</w:t>
      </w:r>
      <w:r>
        <w:t>政府法律顾问</w:t>
      </w:r>
      <w:r>
        <w:rPr>
          <w:rFonts w:hint="eastAsia"/>
          <w:lang w:val="en-US" w:eastAsia="zh-CN"/>
        </w:rPr>
        <w:t>经费</w:t>
      </w:r>
      <w:r>
        <w:t>2</w:t>
      </w:r>
      <w:r>
        <w:rPr>
          <w:rFonts w:hint="eastAsia"/>
          <w:lang w:val="en-US" w:eastAsia="zh-CN"/>
        </w:rPr>
        <w:t>5</w:t>
      </w:r>
      <w:r>
        <w:t>万元，政府网站等级保护经费</w:t>
      </w:r>
      <w:r>
        <w:rPr>
          <w:rFonts w:hint="eastAsia"/>
          <w:lang w:val="en-US" w:eastAsia="zh-CN"/>
        </w:rPr>
        <w:t>16</w:t>
      </w:r>
      <w:r>
        <w:t>万元，政府投资项目经费</w:t>
      </w:r>
      <w:r>
        <w:rPr>
          <w:rFonts w:hint="eastAsia"/>
          <w:lang w:val="en-US" w:eastAsia="zh-CN"/>
        </w:rPr>
        <w:t>300</w:t>
      </w:r>
      <w:r>
        <w:t>万元，政府信息公开平台、财政预决算平台建设维护项目10万元，政务服务便民热线经费</w:t>
      </w:r>
      <w:r>
        <w:rPr>
          <w:rFonts w:hint="eastAsia"/>
          <w:lang w:val="en-US" w:eastAsia="zh-CN"/>
        </w:rPr>
        <w:t>22</w:t>
      </w:r>
      <w:r>
        <w:t>万元。</w:t>
      </w:r>
    </w:p>
    <w:p>
      <w:pPr>
        <w:pStyle w:val="18"/>
      </w:pPr>
      <w:r>
        <w:t>（三）与上年增减情况</w:t>
      </w:r>
    </w:p>
    <w:p>
      <w:pPr>
        <w:pStyle w:val="18"/>
      </w:pPr>
      <w:r>
        <w:rPr>
          <w:rFonts w:hint="eastAsia"/>
          <w:lang w:val="en-US" w:eastAsia="zh-CN"/>
        </w:rPr>
        <w:t>2024</w:t>
      </w:r>
      <w:r>
        <w:t>年度预算收支安排</w:t>
      </w:r>
      <w:r>
        <w:rPr>
          <w:rFonts w:hint="eastAsia"/>
          <w:lang w:val="en-US" w:eastAsia="zh-CN"/>
        </w:rPr>
        <w:t>1591.22</w:t>
      </w:r>
      <w:r>
        <w:t>万元，较上年1805.9万元</w:t>
      </w:r>
      <w:r>
        <w:rPr>
          <w:rFonts w:hint="eastAsia"/>
          <w:lang w:val="en-US" w:eastAsia="zh-CN"/>
        </w:rPr>
        <w:t>减少214.68</w:t>
      </w:r>
      <w:r>
        <w:t>万元。其中：基本支出</w:t>
      </w:r>
      <w:r>
        <w:rPr>
          <w:rFonts w:hint="eastAsia"/>
          <w:lang w:val="en-US" w:eastAsia="zh-CN"/>
        </w:rPr>
        <w:t>925.08</w:t>
      </w:r>
      <w:r>
        <w:t>万元较上年746.55万元</w:t>
      </w:r>
      <w:r>
        <w:rPr>
          <w:rFonts w:hint="eastAsia"/>
          <w:lang w:val="en-US" w:eastAsia="zh-CN"/>
        </w:rPr>
        <w:t>870.66万元</w:t>
      </w:r>
      <w:r>
        <w:t>增加</w:t>
      </w:r>
      <w:r>
        <w:rPr>
          <w:rFonts w:hint="eastAsia"/>
          <w:lang w:val="en-US" w:eastAsia="zh-CN"/>
        </w:rPr>
        <w:t>54.42</w:t>
      </w:r>
      <w:r>
        <w:t>万元，主要原因是人员增多，人员经费支出增加；项目支出</w:t>
      </w:r>
      <w:r>
        <w:rPr>
          <w:rFonts w:hint="eastAsia"/>
          <w:lang w:val="en-US" w:eastAsia="zh-CN"/>
        </w:rPr>
        <w:t>666.14万元较上年935.24万元减少269.1</w:t>
      </w:r>
      <w:r>
        <w:t>万元，主要原因是：</w:t>
      </w:r>
      <w:r>
        <w:rPr>
          <w:rFonts w:hint="eastAsia"/>
          <w:lang w:val="en-US" w:eastAsia="zh-CN"/>
        </w:rPr>
        <w:t>项目减少，支出减少</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年机关运行经费</w:t>
      </w:r>
      <w:r>
        <w:rPr>
          <w:rFonts w:hint="eastAsia"/>
          <w:lang w:val="en-US" w:eastAsia="zh-CN"/>
        </w:rPr>
        <w:t>421.53</w:t>
      </w:r>
      <w:r>
        <w:t>万元，其中：</w:t>
      </w:r>
      <w:r>
        <w:rPr>
          <w:color w:val="auto"/>
        </w:rPr>
        <w:t>办公费</w:t>
      </w:r>
      <w:r>
        <w:rPr>
          <w:rFonts w:hint="eastAsia"/>
          <w:color w:val="auto"/>
          <w:lang w:val="en-US" w:eastAsia="zh-CN"/>
        </w:rPr>
        <w:t>150</w:t>
      </w:r>
      <w:r>
        <w:rPr>
          <w:color w:val="auto"/>
        </w:rPr>
        <w:t>万元、印刷费</w:t>
      </w:r>
      <w:r>
        <w:rPr>
          <w:rFonts w:hint="eastAsia"/>
          <w:color w:val="auto"/>
          <w:lang w:val="en-US" w:eastAsia="zh-CN"/>
        </w:rPr>
        <w:t>25</w:t>
      </w:r>
      <w:r>
        <w:rPr>
          <w:color w:val="auto"/>
        </w:rPr>
        <w:t>万元、</w:t>
      </w:r>
      <w:r>
        <w:rPr>
          <w:rFonts w:hint="eastAsia"/>
          <w:color w:val="auto"/>
          <w:lang w:val="en-US" w:eastAsia="zh-CN"/>
        </w:rPr>
        <w:t>手续费1万元、</w:t>
      </w:r>
      <w:r>
        <w:rPr>
          <w:color w:val="auto"/>
        </w:rPr>
        <w:t>邮电费</w:t>
      </w:r>
      <w:r>
        <w:rPr>
          <w:rFonts w:hint="eastAsia"/>
          <w:color w:val="auto"/>
          <w:lang w:val="en-US" w:eastAsia="zh-CN"/>
        </w:rPr>
        <w:t>14.98</w:t>
      </w:r>
      <w:r>
        <w:rPr>
          <w:color w:val="auto"/>
        </w:rPr>
        <w:t>万元、差旅费10万元、维修（护）费20万元、</w:t>
      </w:r>
      <w:r>
        <w:t>租赁费</w:t>
      </w:r>
      <w:r>
        <w:rPr>
          <w:rFonts w:hint="eastAsia"/>
          <w:lang w:val="en-US" w:eastAsia="zh-CN"/>
        </w:rPr>
        <w:t>10万元、</w:t>
      </w:r>
      <w:r>
        <w:rPr>
          <w:color w:val="auto"/>
        </w:rPr>
        <w:t>会议费16.2万元、</w:t>
      </w:r>
      <w:r>
        <w:t>培训费</w:t>
      </w:r>
      <w:r>
        <w:rPr>
          <w:rFonts w:hint="eastAsia"/>
          <w:lang w:val="en-US" w:eastAsia="zh-CN"/>
        </w:rPr>
        <w:t>2.08万元、</w:t>
      </w:r>
      <w:r>
        <w:t>公务接待费</w:t>
      </w:r>
      <w:r>
        <w:rPr>
          <w:rFonts w:hint="eastAsia"/>
          <w:lang w:val="en-US" w:eastAsia="zh-CN"/>
        </w:rPr>
        <w:t>40.19万元、</w:t>
      </w:r>
      <w:r>
        <w:t>劳务费</w:t>
      </w:r>
      <w:r>
        <w:rPr>
          <w:rFonts w:hint="eastAsia"/>
          <w:lang w:val="en-US" w:eastAsia="zh-CN"/>
        </w:rPr>
        <w:t>20万元、</w:t>
      </w:r>
      <w:r>
        <w:t>委托业务费</w:t>
      </w:r>
      <w:r>
        <w:rPr>
          <w:rFonts w:hint="eastAsia"/>
          <w:lang w:val="en-US" w:eastAsia="zh-CN"/>
        </w:rPr>
        <w:t>10万元、</w:t>
      </w:r>
      <w:r>
        <w:rPr>
          <w:rFonts w:hint="eastAsia"/>
          <w:color w:val="auto"/>
          <w:lang w:val="en-US" w:eastAsia="zh-CN"/>
        </w:rPr>
        <w:t>工会经费10万元、</w:t>
      </w:r>
      <w:r>
        <w:rPr>
          <w:color w:val="auto"/>
        </w:rPr>
        <w:t>福利费10万元、公务用车运行维护费20万元、其他交通费用1</w:t>
      </w:r>
      <w:r>
        <w:rPr>
          <w:rFonts w:hint="eastAsia"/>
          <w:color w:val="auto"/>
          <w:lang w:val="en-US" w:eastAsia="zh-CN"/>
        </w:rPr>
        <w:t>8.48</w:t>
      </w:r>
      <w:r>
        <w:rPr>
          <w:color w:val="auto"/>
        </w:rPr>
        <w:t>万元、其他商品和服务支出</w:t>
      </w:r>
      <w:r>
        <w:rPr>
          <w:rFonts w:hint="eastAsia"/>
          <w:color w:val="auto"/>
          <w:lang w:val="en-US" w:eastAsia="zh-CN"/>
        </w:rPr>
        <w:t>13.6</w:t>
      </w:r>
      <w:r>
        <w:rPr>
          <w:color w:val="auto"/>
        </w:rPr>
        <w:t>万元、办公设备购置费30万元</w:t>
      </w:r>
      <w:bookmarkStart w:id="2" w:name="_GoBack"/>
      <w:bookmarkEnd w:id="2"/>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我单位</w:t>
      </w:r>
      <w:r>
        <w:rPr>
          <w:rFonts w:hint="eastAsia"/>
          <w:lang w:val="en-US" w:eastAsia="zh-CN"/>
        </w:rPr>
        <w:t>2024</w:t>
      </w:r>
      <w:r>
        <w:t>年三公经费预算安排</w:t>
      </w:r>
      <w:r>
        <w:rPr>
          <w:rFonts w:hint="eastAsia"/>
          <w:lang w:val="en-US" w:eastAsia="zh-CN"/>
        </w:rPr>
        <w:t>103.19</w:t>
      </w:r>
      <w:r>
        <w:t>万元。其中，因公出国0元，无增减变化；公务用车费用63万元，比去年减少</w:t>
      </w:r>
      <w:r>
        <w:rPr>
          <w:rFonts w:hint="eastAsia"/>
          <w:lang w:val="en-US" w:eastAsia="zh-CN"/>
        </w:rPr>
        <w:t>0.3</w:t>
      </w:r>
      <w:r>
        <w:t>万元，原因公务用车购置与运行维护经费支出核减；公务招待费4</w:t>
      </w:r>
      <w:r>
        <w:rPr>
          <w:rFonts w:hint="eastAsia"/>
          <w:lang w:val="en-US" w:eastAsia="zh-CN"/>
        </w:rPr>
        <w:t>0.19</w:t>
      </w:r>
      <w:r>
        <w:t>万元，比去年减少</w:t>
      </w:r>
      <w:r>
        <w:rPr>
          <w:rFonts w:hint="eastAsia"/>
          <w:lang w:val="en-US" w:eastAsia="zh-CN"/>
        </w:rPr>
        <w:t>2.11</w:t>
      </w:r>
      <w:r>
        <w:t>万元，原因公务接待费支出核减。较去年</w:t>
      </w:r>
      <w:r>
        <w:rPr>
          <w:rFonts w:hint="eastAsia"/>
          <w:lang w:val="en-US" w:eastAsia="zh-CN"/>
        </w:rPr>
        <w:t>105.6</w:t>
      </w:r>
      <w:r>
        <w:t>万元相比，减少</w:t>
      </w:r>
      <w:r>
        <w:rPr>
          <w:rFonts w:hint="eastAsia"/>
          <w:lang w:val="en-US" w:eastAsia="zh-CN"/>
        </w:rPr>
        <w:t>2.41</w:t>
      </w:r>
      <w:r>
        <w:t>万元，原因针对三公经费支出制定了严格的管理制度，厉行节约，杜绝浪费。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1、OA系统升级项目经费绩效目标表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13062824P000098100024</w:t>
            </w:r>
          </w:p>
        </w:tc>
        <w:tc>
          <w:tcPr>
            <w:tcW w:w="2835" w:type="dxa"/>
            <w:vAlign w:val="center"/>
          </w:tcPr>
          <w:p>
            <w:pPr>
              <w:pStyle w:val="10"/>
            </w:pPr>
            <w:r>
              <w:t>项目名称</w:t>
            </w:r>
          </w:p>
        </w:tc>
        <w:tc>
          <w:tcPr>
            <w:tcW w:w="6094" w:type="dxa"/>
            <w:gridSpan w:val="3"/>
            <w:vAlign w:val="center"/>
          </w:tcPr>
          <w:p>
            <w:pPr>
              <w:pStyle w:val="12"/>
            </w:pPr>
            <w:r>
              <w:t>OA系统升级项目经费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进行OA系统升级，保证电子公务正常运行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83</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1.保证电子公务正常运行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一年内使用天数</w:t>
            </w:r>
          </w:p>
        </w:tc>
        <w:tc>
          <w:tcPr>
            <w:tcW w:w="5386" w:type="dxa"/>
            <w:vAlign w:val="center"/>
          </w:tcPr>
          <w:p>
            <w:pPr>
              <w:pStyle w:val="12"/>
            </w:pPr>
            <w:r>
              <w:t>一年内使用天数</w:t>
            </w:r>
          </w:p>
        </w:tc>
        <w:tc>
          <w:tcPr>
            <w:tcW w:w="2268" w:type="dxa"/>
            <w:vAlign w:val="center"/>
          </w:tcPr>
          <w:p>
            <w:pPr>
              <w:pStyle w:val="12"/>
            </w:pPr>
            <w:r>
              <w:t>365天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系统故障次数</w:t>
            </w:r>
          </w:p>
        </w:tc>
        <w:tc>
          <w:tcPr>
            <w:tcW w:w="5386" w:type="dxa"/>
            <w:vAlign w:val="center"/>
          </w:tcPr>
          <w:p>
            <w:pPr>
              <w:pStyle w:val="12"/>
            </w:pPr>
            <w:r>
              <w:t>系统出故障次数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接受信息的及时性</w:t>
            </w:r>
          </w:p>
        </w:tc>
        <w:tc>
          <w:tcPr>
            <w:tcW w:w="5386" w:type="dxa"/>
            <w:vAlign w:val="center"/>
          </w:tcPr>
          <w:p>
            <w:pPr>
              <w:pStyle w:val="12"/>
            </w:pPr>
            <w:r>
              <w:t>信息发出与接收到的时间差</w:t>
            </w:r>
          </w:p>
        </w:tc>
        <w:tc>
          <w:tcPr>
            <w:tcW w:w="2268" w:type="dxa"/>
            <w:vAlign w:val="center"/>
          </w:tcPr>
          <w:p>
            <w:pPr>
              <w:pStyle w:val="12"/>
            </w:pPr>
            <w:r>
              <w:t>≤3分钟</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群众对政府办事效率的满意率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2、高阳县公务用车服务平台车辆经费绩效目标表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13062824P00AB76100054</w:t>
            </w:r>
          </w:p>
        </w:tc>
        <w:tc>
          <w:tcPr>
            <w:tcW w:w="2835" w:type="dxa"/>
            <w:vAlign w:val="center"/>
          </w:tcPr>
          <w:p>
            <w:pPr>
              <w:pStyle w:val="10"/>
            </w:pPr>
            <w:r>
              <w:t>项目名称</w:t>
            </w:r>
          </w:p>
        </w:tc>
        <w:tc>
          <w:tcPr>
            <w:tcW w:w="6094" w:type="dxa"/>
            <w:gridSpan w:val="3"/>
            <w:vAlign w:val="center"/>
          </w:tcPr>
          <w:p>
            <w:pPr>
              <w:pStyle w:val="12"/>
            </w:pPr>
            <w:r>
              <w:t>高阳县公务用车服务平台车辆经费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用于平台24辆车的油费、维修费、保险费等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83</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1.保障政务工作正常运行，提高政务工作业务水平，提升政务工作效率。</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车辆隐患发生次数</w:t>
            </w:r>
          </w:p>
        </w:tc>
        <w:tc>
          <w:tcPr>
            <w:tcW w:w="5386" w:type="dxa"/>
            <w:vAlign w:val="center"/>
          </w:tcPr>
          <w:p>
            <w:pPr>
              <w:pStyle w:val="12"/>
            </w:pPr>
            <w:r>
              <w:t>实际隐患发生次数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实际隐患排查数量占隐患总数的比例 </w:t>
            </w:r>
          </w:p>
        </w:tc>
        <w:tc>
          <w:tcPr>
            <w:tcW w:w="5386" w:type="dxa"/>
            <w:vAlign w:val="center"/>
          </w:tcPr>
          <w:p>
            <w:pPr>
              <w:pStyle w:val="12"/>
            </w:pPr>
            <w:r>
              <w:t>实际隐患排查数量占隐患总数的比例</w:t>
            </w:r>
          </w:p>
        </w:tc>
        <w:tc>
          <w:tcPr>
            <w:tcW w:w="2268" w:type="dxa"/>
            <w:vAlign w:val="center"/>
          </w:tcPr>
          <w:p>
            <w:pPr>
              <w:pStyle w:val="12"/>
            </w:pPr>
            <w:r>
              <w:t>≥97%</w:t>
            </w:r>
          </w:p>
        </w:tc>
        <w:tc>
          <w:tcPr>
            <w:tcW w:w="1276" w:type="dxa"/>
            <w:vAlign w:val="center"/>
          </w:tcPr>
          <w:p>
            <w:pPr>
              <w:pStyle w:val="12"/>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排查隐患及时率占隐患总数的比例</w:t>
            </w:r>
          </w:p>
        </w:tc>
        <w:tc>
          <w:tcPr>
            <w:tcW w:w="5386" w:type="dxa"/>
            <w:vAlign w:val="center"/>
          </w:tcPr>
          <w:p>
            <w:pPr>
              <w:pStyle w:val="12"/>
            </w:pPr>
            <w:r>
              <w:t>排查隐患及时率占隐患总数的比例</w:t>
            </w:r>
          </w:p>
        </w:tc>
        <w:tc>
          <w:tcPr>
            <w:tcW w:w="2268" w:type="dxa"/>
            <w:vAlign w:val="center"/>
          </w:tcPr>
          <w:p>
            <w:pPr>
              <w:pStyle w:val="12"/>
            </w:pPr>
            <w:r>
              <w:t>≥97%</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实际支出占预算金额的比例</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故障降低率</w:t>
            </w:r>
          </w:p>
        </w:tc>
        <w:tc>
          <w:tcPr>
            <w:tcW w:w="5386" w:type="dxa"/>
            <w:vAlign w:val="center"/>
          </w:tcPr>
          <w:p>
            <w:pPr>
              <w:pStyle w:val="12"/>
            </w:pPr>
            <w:r>
              <w:t>故障发生同期下降比率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服务对象的满意率</w:t>
            </w:r>
          </w:p>
        </w:tc>
        <w:tc>
          <w:tcPr>
            <w:tcW w:w="5386" w:type="dxa"/>
            <w:vAlign w:val="center"/>
          </w:tcPr>
          <w:p>
            <w:pPr>
              <w:pStyle w:val="12"/>
            </w:pPr>
            <w:r>
              <w:t>工作人员对公车使用的满意率</w:t>
            </w:r>
          </w:p>
        </w:tc>
        <w:tc>
          <w:tcPr>
            <w:tcW w:w="2268" w:type="dxa"/>
            <w:vAlign w:val="center"/>
          </w:tcPr>
          <w:p>
            <w:pPr>
              <w:pStyle w:val="12"/>
            </w:pPr>
            <w:r>
              <w:t>≥98%</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3、高阳县乡村振兴综合整治项目（一期、二期）购买项目管理服务绩效目标表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13062824P00023510004E</w:t>
            </w:r>
          </w:p>
        </w:tc>
        <w:tc>
          <w:tcPr>
            <w:tcW w:w="2114" w:type="dxa"/>
            <w:vAlign w:val="center"/>
          </w:tcPr>
          <w:p>
            <w:pPr>
              <w:pStyle w:val="10"/>
            </w:pPr>
            <w:r>
              <w:t>项目名称</w:t>
            </w:r>
          </w:p>
        </w:tc>
        <w:tc>
          <w:tcPr>
            <w:tcW w:w="6342" w:type="dxa"/>
            <w:gridSpan w:val="3"/>
            <w:vAlign w:val="center"/>
          </w:tcPr>
          <w:p>
            <w:pPr>
              <w:pStyle w:val="12"/>
            </w:pPr>
            <w:r>
              <w:t>高阳县乡村振兴综合整治项目（一期、二期）购买项目管理服务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140.00</w:t>
            </w:r>
          </w:p>
        </w:tc>
        <w:tc>
          <w:tcPr>
            <w:tcW w:w="2114" w:type="dxa"/>
            <w:vAlign w:val="center"/>
          </w:tcPr>
          <w:p>
            <w:pPr>
              <w:pStyle w:val="10"/>
            </w:pPr>
            <w:r>
              <w:t>其中：财政    资金</w:t>
            </w:r>
          </w:p>
        </w:tc>
        <w:tc>
          <w:tcPr>
            <w:tcW w:w="2114" w:type="dxa"/>
            <w:vAlign w:val="center"/>
          </w:tcPr>
          <w:p>
            <w:pPr>
              <w:pStyle w:val="12"/>
            </w:pPr>
            <w:r>
              <w:t>140.00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通过政府采购择优选择一家具有工程项目管理能力的单位为高阳县乡村振兴综合整治项目（一期、二期）提供项目管理服务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1.通过政府采购择优选择一家具有工程项目管理能力的单位为高阳县乡村振兴综合整治项目（一期、二期）提供项目管理服务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公开招标项目数</w:t>
            </w:r>
          </w:p>
        </w:tc>
        <w:tc>
          <w:tcPr>
            <w:tcW w:w="5386" w:type="dxa"/>
            <w:vAlign w:val="center"/>
          </w:tcPr>
          <w:p>
            <w:pPr>
              <w:pStyle w:val="12"/>
            </w:pPr>
            <w:r>
              <w:t>公开招标项目数</w:t>
            </w:r>
          </w:p>
        </w:tc>
        <w:tc>
          <w:tcPr>
            <w:tcW w:w="2268" w:type="dxa"/>
            <w:vAlign w:val="center"/>
          </w:tcPr>
          <w:p>
            <w:pPr>
              <w:pStyle w:val="12"/>
            </w:pPr>
            <w:r>
              <w:t>1项</w:t>
            </w:r>
          </w:p>
        </w:tc>
        <w:tc>
          <w:tcPr>
            <w:tcW w:w="1276" w:type="dxa"/>
            <w:vAlign w:val="center"/>
          </w:tcPr>
          <w:p>
            <w:pPr>
              <w:pStyle w:val="12"/>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招标过程规范化</w:t>
            </w:r>
          </w:p>
        </w:tc>
        <w:tc>
          <w:tcPr>
            <w:tcW w:w="5386" w:type="dxa"/>
            <w:vAlign w:val="center"/>
          </w:tcPr>
          <w:p>
            <w:pPr>
              <w:pStyle w:val="12"/>
            </w:pPr>
            <w:r>
              <w:t>招标过程规范化程度</w:t>
            </w:r>
          </w:p>
        </w:tc>
        <w:tc>
          <w:tcPr>
            <w:tcW w:w="2268" w:type="dxa"/>
            <w:vAlign w:val="center"/>
          </w:tcPr>
          <w:p>
            <w:pPr>
              <w:pStyle w:val="12"/>
            </w:pPr>
            <w:r>
              <w:t>≥95%</w:t>
            </w:r>
          </w:p>
        </w:tc>
        <w:tc>
          <w:tcPr>
            <w:tcW w:w="1276" w:type="dxa"/>
            <w:vAlign w:val="center"/>
          </w:tcPr>
          <w:p>
            <w:pPr>
              <w:pStyle w:val="12"/>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≤100%</w:t>
            </w:r>
          </w:p>
        </w:tc>
        <w:tc>
          <w:tcPr>
            <w:tcW w:w="1276" w:type="dxa"/>
            <w:vAlign w:val="center"/>
          </w:tcPr>
          <w:p>
            <w:pPr>
              <w:pStyle w:val="12"/>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社会效益指标</w:t>
            </w:r>
          </w:p>
        </w:tc>
        <w:tc>
          <w:tcPr>
            <w:tcW w:w="2268" w:type="dxa"/>
            <w:vAlign w:val="center"/>
          </w:tcPr>
          <w:p>
            <w:pPr>
              <w:pStyle w:val="12"/>
            </w:pPr>
            <w:r>
              <w:t>≥90%</w:t>
            </w:r>
          </w:p>
        </w:tc>
        <w:tc>
          <w:tcPr>
            <w:tcW w:w="1276" w:type="dxa"/>
            <w:vAlign w:val="center"/>
          </w:tcPr>
          <w:p>
            <w:pPr>
              <w:pStyle w:val="12"/>
            </w:pPr>
            <w:r>
              <w:t>项目年度计划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项目年度计划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4、政府办地方志工作经费绩效目标表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13062824P00G99B10004B</w:t>
            </w:r>
          </w:p>
        </w:tc>
        <w:tc>
          <w:tcPr>
            <w:tcW w:w="2114" w:type="dxa"/>
            <w:vAlign w:val="center"/>
          </w:tcPr>
          <w:p>
            <w:pPr>
              <w:pStyle w:val="10"/>
            </w:pPr>
            <w:r>
              <w:t>项目名称</w:t>
            </w:r>
          </w:p>
        </w:tc>
        <w:tc>
          <w:tcPr>
            <w:tcW w:w="6342" w:type="dxa"/>
            <w:gridSpan w:val="3"/>
            <w:vAlign w:val="center"/>
          </w:tcPr>
          <w:p>
            <w:pPr>
              <w:pStyle w:val="12"/>
            </w:pPr>
            <w:r>
              <w:t>政府办地方志工作经费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用于地方志印刷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1.开发利用地方志资源，为当地经济社会发展服务。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著作数量</w:t>
            </w:r>
          </w:p>
        </w:tc>
        <w:tc>
          <w:tcPr>
            <w:tcW w:w="5386" w:type="dxa"/>
            <w:vAlign w:val="center"/>
          </w:tcPr>
          <w:p>
            <w:pPr>
              <w:pStyle w:val="12"/>
            </w:pPr>
            <w:r>
              <w:t>正式出版数量</w:t>
            </w:r>
          </w:p>
        </w:tc>
        <w:tc>
          <w:tcPr>
            <w:tcW w:w="2268" w:type="dxa"/>
            <w:vAlign w:val="center"/>
          </w:tcPr>
          <w:p>
            <w:pPr>
              <w:pStyle w:val="12"/>
            </w:pPr>
            <w:r>
              <w:t>≥600本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出版著作的质量合格率</w:t>
            </w:r>
          </w:p>
        </w:tc>
        <w:tc>
          <w:tcPr>
            <w:tcW w:w="5386" w:type="dxa"/>
            <w:vAlign w:val="center"/>
          </w:tcPr>
          <w:p>
            <w:pPr>
              <w:pStyle w:val="12"/>
            </w:pPr>
            <w:r>
              <w:t>正式出版数量著作的内容充实率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出版刊物的及时性</w:t>
            </w:r>
          </w:p>
        </w:tc>
        <w:tc>
          <w:tcPr>
            <w:tcW w:w="5386" w:type="dxa"/>
            <w:vAlign w:val="center"/>
          </w:tcPr>
          <w:p>
            <w:pPr>
              <w:pStyle w:val="12"/>
            </w:pPr>
            <w:r>
              <w:t>正式出版著作是否符合事实社会状态</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群众对地方志编写工作的满意度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5、政府办广告牌租赁费绩效目标表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13062824P00DAM010004K</w:t>
            </w:r>
          </w:p>
        </w:tc>
        <w:tc>
          <w:tcPr>
            <w:tcW w:w="2114" w:type="dxa"/>
            <w:vAlign w:val="center"/>
          </w:tcPr>
          <w:p>
            <w:pPr>
              <w:pStyle w:val="10"/>
            </w:pPr>
            <w:r>
              <w:t>项目名称</w:t>
            </w:r>
          </w:p>
        </w:tc>
        <w:tc>
          <w:tcPr>
            <w:tcW w:w="6342" w:type="dxa"/>
            <w:gridSpan w:val="3"/>
            <w:vAlign w:val="center"/>
          </w:tcPr>
          <w:p>
            <w:pPr>
              <w:pStyle w:val="12"/>
            </w:pPr>
            <w:r>
              <w:t>政府办广告牌租赁费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25.50</w:t>
            </w:r>
          </w:p>
        </w:tc>
        <w:tc>
          <w:tcPr>
            <w:tcW w:w="2114" w:type="dxa"/>
            <w:vAlign w:val="center"/>
          </w:tcPr>
          <w:p>
            <w:pPr>
              <w:pStyle w:val="10"/>
            </w:pPr>
            <w:r>
              <w:t>其中：财政    资金</w:t>
            </w:r>
          </w:p>
        </w:tc>
        <w:tc>
          <w:tcPr>
            <w:tcW w:w="2114" w:type="dxa"/>
            <w:vAlign w:val="center"/>
          </w:tcPr>
          <w:p>
            <w:pPr>
              <w:pStyle w:val="12"/>
            </w:pPr>
            <w:r>
              <w:t>25.50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用于广告牌租赁等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1.突出政务、加强事务、提升服务；加大社会主义核心价值观宣传力度。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开办宣传专栏次数</w:t>
            </w:r>
          </w:p>
        </w:tc>
        <w:tc>
          <w:tcPr>
            <w:tcW w:w="5386" w:type="dxa"/>
            <w:vAlign w:val="center"/>
          </w:tcPr>
          <w:p>
            <w:pPr>
              <w:pStyle w:val="12"/>
            </w:pPr>
            <w:r>
              <w:t>开展宣传活动数量</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宣传到位率</w:t>
            </w:r>
          </w:p>
        </w:tc>
        <w:tc>
          <w:tcPr>
            <w:tcW w:w="5386" w:type="dxa"/>
            <w:vAlign w:val="center"/>
          </w:tcPr>
          <w:p>
            <w:pPr>
              <w:pStyle w:val="12"/>
            </w:pPr>
            <w:r>
              <w:t>相关政策普及率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宣传政策及时率</w:t>
            </w:r>
          </w:p>
        </w:tc>
        <w:tc>
          <w:tcPr>
            <w:tcW w:w="5386" w:type="dxa"/>
            <w:vAlign w:val="center"/>
          </w:tcPr>
          <w:p>
            <w:pPr>
              <w:pStyle w:val="12"/>
            </w:pPr>
            <w:r>
              <w:t>时事政策宣传占总宣传的比例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宣传影响覆盖率</w:t>
            </w:r>
          </w:p>
        </w:tc>
        <w:tc>
          <w:tcPr>
            <w:tcW w:w="5386" w:type="dxa"/>
            <w:vAlign w:val="center"/>
          </w:tcPr>
          <w:p>
            <w:pPr>
              <w:pStyle w:val="12"/>
            </w:pPr>
            <w:r>
              <w:t>社群受影响覆盖面</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6、政府办金融工作经费绩效目标表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13062824P0090JB10004L</w:t>
            </w:r>
          </w:p>
        </w:tc>
        <w:tc>
          <w:tcPr>
            <w:tcW w:w="2114" w:type="dxa"/>
            <w:vAlign w:val="center"/>
          </w:tcPr>
          <w:p>
            <w:pPr>
              <w:pStyle w:val="10"/>
            </w:pPr>
            <w:r>
              <w:t>项目名称</w:t>
            </w:r>
          </w:p>
        </w:tc>
        <w:tc>
          <w:tcPr>
            <w:tcW w:w="6342" w:type="dxa"/>
            <w:gridSpan w:val="3"/>
            <w:vAlign w:val="center"/>
          </w:tcPr>
          <w:p>
            <w:pPr>
              <w:pStyle w:val="12"/>
            </w:pPr>
            <w:r>
              <w:t>政府办金融工作经费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用于金融办支出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1.协调化解不利于金融业发展的矛盾和问题；配合国家金融管理机构对县内金融机构的监管；维护全县金融秩序，协助做好全县金融风险的防范化解。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监督检查的对象数量</w:t>
            </w:r>
          </w:p>
        </w:tc>
        <w:tc>
          <w:tcPr>
            <w:tcW w:w="5386" w:type="dxa"/>
            <w:vAlign w:val="center"/>
          </w:tcPr>
          <w:p>
            <w:pPr>
              <w:pStyle w:val="12"/>
            </w:pPr>
            <w:r>
              <w:t>监管对象数量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监督检查率</w:t>
            </w:r>
          </w:p>
        </w:tc>
        <w:tc>
          <w:tcPr>
            <w:tcW w:w="5386" w:type="dxa"/>
            <w:vAlign w:val="center"/>
          </w:tcPr>
          <w:p>
            <w:pPr>
              <w:pStyle w:val="12"/>
            </w:pPr>
            <w:r>
              <w:t>实际开展监督检查的对象数量占应监管对象总数的比率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监督检查的及时性</w:t>
            </w:r>
          </w:p>
        </w:tc>
        <w:tc>
          <w:tcPr>
            <w:tcW w:w="5386" w:type="dxa"/>
            <w:vAlign w:val="center"/>
          </w:tcPr>
          <w:p>
            <w:pPr>
              <w:pStyle w:val="12"/>
            </w:pPr>
            <w:r>
              <w:t>是否及时解决金融业发展过程重的问题</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重大舆情监测覆盖率</w:t>
            </w:r>
          </w:p>
        </w:tc>
        <w:tc>
          <w:tcPr>
            <w:tcW w:w="5386" w:type="dxa"/>
            <w:vAlign w:val="center"/>
          </w:tcPr>
          <w:p>
            <w:pPr>
              <w:pStyle w:val="12"/>
            </w:pPr>
            <w:r>
              <w:t>重大舆情监测数量占总数量的比率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服务对象的满意率</w:t>
            </w:r>
          </w:p>
        </w:tc>
        <w:tc>
          <w:tcPr>
            <w:tcW w:w="5386" w:type="dxa"/>
            <w:vAlign w:val="center"/>
          </w:tcPr>
          <w:p>
            <w:pPr>
              <w:pStyle w:val="12"/>
            </w:pPr>
            <w:r>
              <w:t>群众对非法集资宣传度的满意率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7、政府办网络光纤租用费绩效目标表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13062824P00D3K510004B</w:t>
            </w:r>
          </w:p>
        </w:tc>
        <w:tc>
          <w:tcPr>
            <w:tcW w:w="2114" w:type="dxa"/>
            <w:vAlign w:val="center"/>
          </w:tcPr>
          <w:p>
            <w:pPr>
              <w:pStyle w:val="10"/>
            </w:pPr>
            <w:r>
              <w:t>项目名称</w:t>
            </w:r>
          </w:p>
        </w:tc>
        <w:tc>
          <w:tcPr>
            <w:tcW w:w="6342" w:type="dxa"/>
            <w:gridSpan w:val="3"/>
            <w:vAlign w:val="center"/>
          </w:tcPr>
          <w:p>
            <w:pPr>
              <w:pStyle w:val="12"/>
            </w:pPr>
            <w:r>
              <w:t>政府办网络光纤租用费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24.64</w:t>
            </w:r>
          </w:p>
        </w:tc>
        <w:tc>
          <w:tcPr>
            <w:tcW w:w="2114" w:type="dxa"/>
            <w:vAlign w:val="center"/>
          </w:tcPr>
          <w:p>
            <w:pPr>
              <w:pStyle w:val="10"/>
            </w:pPr>
            <w:r>
              <w:t>其中：财政    资金</w:t>
            </w:r>
          </w:p>
        </w:tc>
        <w:tc>
          <w:tcPr>
            <w:tcW w:w="2114" w:type="dxa"/>
            <w:vAlign w:val="center"/>
          </w:tcPr>
          <w:p>
            <w:pPr>
              <w:pStyle w:val="12"/>
            </w:pPr>
            <w:r>
              <w:t>24.64</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完成网络光纤租用，满足政务网络正常运转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1.完成网络光纤租用，满足政务网络正常运转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正常运转率</w:t>
            </w:r>
          </w:p>
        </w:tc>
        <w:tc>
          <w:tcPr>
            <w:tcW w:w="5386" w:type="dxa"/>
            <w:vAlign w:val="center"/>
          </w:tcPr>
          <w:p>
            <w:pPr>
              <w:pStyle w:val="12"/>
            </w:pPr>
            <w:r>
              <w:t>正常工作数占总工作数比例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系统故障次数</w:t>
            </w:r>
          </w:p>
        </w:tc>
        <w:tc>
          <w:tcPr>
            <w:tcW w:w="5386" w:type="dxa"/>
            <w:vAlign w:val="center"/>
          </w:tcPr>
          <w:p>
            <w:pPr>
              <w:pStyle w:val="12"/>
            </w:pPr>
            <w:r>
              <w:t>系统出故障次数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处理业务的及时性</w:t>
            </w:r>
          </w:p>
        </w:tc>
        <w:tc>
          <w:tcPr>
            <w:tcW w:w="5386" w:type="dxa"/>
            <w:vAlign w:val="center"/>
          </w:tcPr>
          <w:p>
            <w:pPr>
              <w:pStyle w:val="12"/>
            </w:pPr>
            <w:r>
              <w:t>及时处理业务数占总处理数</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8、政府法律顾问经费-聘用绩效目标表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13062824P000031100048</w:t>
            </w:r>
          </w:p>
        </w:tc>
        <w:tc>
          <w:tcPr>
            <w:tcW w:w="2114" w:type="dxa"/>
            <w:vAlign w:val="center"/>
          </w:tcPr>
          <w:p>
            <w:pPr>
              <w:pStyle w:val="10"/>
            </w:pPr>
            <w:r>
              <w:t>项目名称</w:t>
            </w:r>
          </w:p>
        </w:tc>
        <w:tc>
          <w:tcPr>
            <w:tcW w:w="6342" w:type="dxa"/>
            <w:gridSpan w:val="3"/>
            <w:vAlign w:val="center"/>
          </w:tcPr>
          <w:p>
            <w:pPr>
              <w:pStyle w:val="12"/>
            </w:pPr>
            <w:r>
              <w:t>政府法律顾问经费-聘用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25.00</w:t>
            </w:r>
          </w:p>
        </w:tc>
        <w:tc>
          <w:tcPr>
            <w:tcW w:w="2114" w:type="dxa"/>
            <w:vAlign w:val="center"/>
          </w:tcPr>
          <w:p>
            <w:pPr>
              <w:pStyle w:val="10"/>
            </w:pPr>
            <w:r>
              <w:t>其中：财政    资金</w:t>
            </w:r>
          </w:p>
        </w:tc>
        <w:tc>
          <w:tcPr>
            <w:tcW w:w="2114" w:type="dxa"/>
            <w:vAlign w:val="center"/>
          </w:tcPr>
          <w:p>
            <w:pPr>
              <w:pStyle w:val="12"/>
            </w:pPr>
            <w:r>
              <w:t>25.00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全面推进依法行政，加强</w:t>
            </w:r>
            <w:r>
              <w:rPr>
                <w:rFonts w:hint="eastAsia"/>
                <w:lang w:eastAsia="zh-CN"/>
              </w:rPr>
              <w:t>法治政府</w:t>
            </w:r>
            <w:r>
              <w:t>建设，聘用2-3家法律顾问。</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1.全面推进依法行政，加强</w:t>
            </w:r>
            <w:r>
              <w:rPr>
                <w:rFonts w:hint="eastAsia"/>
                <w:lang w:eastAsia="zh-CN"/>
              </w:rPr>
              <w:t>法治政府</w:t>
            </w:r>
            <w:r>
              <w:t>建设。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提供法律咨询数量</w:t>
            </w:r>
          </w:p>
        </w:tc>
        <w:tc>
          <w:tcPr>
            <w:tcW w:w="5386" w:type="dxa"/>
            <w:vAlign w:val="center"/>
          </w:tcPr>
          <w:p>
            <w:pPr>
              <w:pStyle w:val="12"/>
            </w:pPr>
            <w:r>
              <w:t>提供法律咨询数量</w:t>
            </w:r>
          </w:p>
        </w:tc>
        <w:tc>
          <w:tcPr>
            <w:tcW w:w="2268" w:type="dxa"/>
            <w:vAlign w:val="center"/>
          </w:tcPr>
          <w:p>
            <w:pPr>
              <w:pStyle w:val="12"/>
            </w:pPr>
            <w:r>
              <w:t>≥2件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法律服务质量</w:t>
            </w:r>
          </w:p>
        </w:tc>
        <w:tc>
          <w:tcPr>
            <w:tcW w:w="5386" w:type="dxa"/>
            <w:vAlign w:val="center"/>
          </w:tcPr>
          <w:p>
            <w:pPr>
              <w:pStyle w:val="12"/>
            </w:pPr>
            <w:r>
              <w:t>问题解决率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群众对政府法制建设的满意度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9、政府网站等级保护经费绩效目标表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13062824P00009610002Q</w:t>
            </w:r>
          </w:p>
        </w:tc>
        <w:tc>
          <w:tcPr>
            <w:tcW w:w="2114" w:type="dxa"/>
            <w:vAlign w:val="center"/>
          </w:tcPr>
          <w:p>
            <w:pPr>
              <w:pStyle w:val="10"/>
            </w:pPr>
            <w:r>
              <w:t>项目名称</w:t>
            </w:r>
          </w:p>
        </w:tc>
        <w:tc>
          <w:tcPr>
            <w:tcW w:w="6342" w:type="dxa"/>
            <w:gridSpan w:val="3"/>
            <w:vAlign w:val="center"/>
          </w:tcPr>
          <w:p>
            <w:pPr>
              <w:pStyle w:val="12"/>
            </w:pPr>
            <w:r>
              <w:t>政府网站等级保护经费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16.00</w:t>
            </w:r>
          </w:p>
        </w:tc>
        <w:tc>
          <w:tcPr>
            <w:tcW w:w="2114" w:type="dxa"/>
            <w:vAlign w:val="center"/>
          </w:tcPr>
          <w:p>
            <w:pPr>
              <w:pStyle w:val="10"/>
            </w:pPr>
            <w:r>
              <w:t>其中：财政    资金</w:t>
            </w:r>
          </w:p>
        </w:tc>
        <w:tc>
          <w:tcPr>
            <w:tcW w:w="2114" w:type="dxa"/>
            <w:vAlign w:val="center"/>
          </w:tcPr>
          <w:p>
            <w:pPr>
              <w:pStyle w:val="12"/>
            </w:pPr>
            <w:r>
              <w:t>16.00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实现政府网络等级保护项目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83</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1.整合信息资源，促进各部门共建共享，实现跨部门业务协同，全面提升政务部门的行政效率。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网站安全测评次数</w:t>
            </w:r>
          </w:p>
        </w:tc>
        <w:tc>
          <w:tcPr>
            <w:tcW w:w="5386" w:type="dxa"/>
            <w:vAlign w:val="center"/>
          </w:tcPr>
          <w:p>
            <w:pPr>
              <w:pStyle w:val="12"/>
            </w:pPr>
            <w:r>
              <w:t>每年对政府网站测评次数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网络安全等级</w:t>
            </w:r>
          </w:p>
        </w:tc>
        <w:tc>
          <w:tcPr>
            <w:tcW w:w="5386" w:type="dxa"/>
            <w:vAlign w:val="center"/>
          </w:tcPr>
          <w:p>
            <w:pPr>
              <w:pStyle w:val="12"/>
            </w:pPr>
            <w:r>
              <w:t>网络安全等级保护</w:t>
            </w:r>
          </w:p>
        </w:tc>
        <w:tc>
          <w:tcPr>
            <w:tcW w:w="2268" w:type="dxa"/>
            <w:vAlign w:val="center"/>
          </w:tcPr>
          <w:p>
            <w:pPr>
              <w:pStyle w:val="12"/>
            </w:pPr>
            <w:r>
              <w:t>≥3级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网络维护升级及时性</w:t>
            </w:r>
          </w:p>
        </w:tc>
        <w:tc>
          <w:tcPr>
            <w:tcW w:w="5386" w:type="dxa"/>
            <w:vAlign w:val="center"/>
          </w:tcPr>
          <w:p>
            <w:pPr>
              <w:pStyle w:val="12"/>
            </w:pPr>
            <w:r>
              <w:t>网络维护升级及时性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项目支出成本控制有效性</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网络安全保密程度</w:t>
            </w:r>
          </w:p>
        </w:tc>
        <w:tc>
          <w:tcPr>
            <w:tcW w:w="5386" w:type="dxa"/>
            <w:vAlign w:val="center"/>
          </w:tcPr>
          <w:p>
            <w:pPr>
              <w:pStyle w:val="12"/>
            </w:pPr>
            <w:r>
              <w:t>网络安全保密程度</w:t>
            </w:r>
          </w:p>
        </w:tc>
        <w:tc>
          <w:tcPr>
            <w:tcW w:w="2268" w:type="dxa"/>
            <w:vAlign w:val="center"/>
          </w:tcPr>
          <w:p>
            <w:pPr>
              <w:pStyle w:val="12"/>
            </w:pPr>
            <w:r>
              <w:t>≥99%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群众对政府网站稳定的满意率</w:t>
            </w:r>
          </w:p>
        </w:tc>
        <w:tc>
          <w:tcPr>
            <w:tcW w:w="2268" w:type="dxa"/>
            <w:vAlign w:val="center"/>
          </w:tcPr>
          <w:p>
            <w:pPr>
              <w:pStyle w:val="12"/>
            </w:pPr>
            <w:r>
              <w:t>≥97%</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10、政府项目投资经费绩效目标表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13062824P00010210002Q</w:t>
            </w:r>
          </w:p>
        </w:tc>
        <w:tc>
          <w:tcPr>
            <w:tcW w:w="2835" w:type="dxa"/>
            <w:vAlign w:val="center"/>
          </w:tcPr>
          <w:p>
            <w:pPr>
              <w:pStyle w:val="10"/>
            </w:pPr>
            <w:r>
              <w:t>项目名称</w:t>
            </w:r>
          </w:p>
        </w:tc>
        <w:tc>
          <w:tcPr>
            <w:tcW w:w="6094" w:type="dxa"/>
            <w:gridSpan w:val="3"/>
            <w:vAlign w:val="center"/>
          </w:tcPr>
          <w:p>
            <w:pPr>
              <w:pStyle w:val="12"/>
            </w:pPr>
            <w:r>
              <w:t>政府项目投资经费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用于政府投资项目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1.加强政府投资项目管理，健全科学、高效的项目决策机制，提高政府投资效益，推动经济社会高质量发展。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项目实施数量</w:t>
            </w:r>
          </w:p>
        </w:tc>
        <w:tc>
          <w:tcPr>
            <w:tcW w:w="5386" w:type="dxa"/>
            <w:vAlign w:val="center"/>
          </w:tcPr>
          <w:p>
            <w:pPr>
              <w:pStyle w:val="12"/>
            </w:pPr>
            <w:r>
              <w:t>项目实施数量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项目实施质量</w:t>
            </w:r>
          </w:p>
        </w:tc>
        <w:tc>
          <w:tcPr>
            <w:tcW w:w="5386" w:type="dxa"/>
            <w:vAlign w:val="center"/>
          </w:tcPr>
          <w:p>
            <w:pPr>
              <w:pStyle w:val="12"/>
            </w:pPr>
            <w:r>
              <w:t>项目实施质量</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项目支出成本控制有效性</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服务对象的满意率</w:t>
            </w:r>
          </w:p>
        </w:tc>
        <w:tc>
          <w:tcPr>
            <w:tcW w:w="5386" w:type="dxa"/>
            <w:vAlign w:val="center"/>
          </w:tcPr>
          <w:p>
            <w:pPr>
              <w:pStyle w:val="12"/>
            </w:pPr>
            <w:r>
              <w:t>群众对政府投资项目的满意率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11、政府信息公开平台、财政预决算平台建设维护项目绩效目标表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13062824P00010010004L</w:t>
            </w:r>
          </w:p>
        </w:tc>
        <w:tc>
          <w:tcPr>
            <w:tcW w:w="2835" w:type="dxa"/>
            <w:vAlign w:val="center"/>
          </w:tcPr>
          <w:p>
            <w:pPr>
              <w:pStyle w:val="10"/>
            </w:pPr>
            <w:r>
              <w:t>项目名称</w:t>
            </w:r>
          </w:p>
        </w:tc>
        <w:tc>
          <w:tcPr>
            <w:tcW w:w="6094" w:type="dxa"/>
            <w:gridSpan w:val="3"/>
            <w:vAlign w:val="center"/>
          </w:tcPr>
          <w:p>
            <w:pPr>
              <w:pStyle w:val="12"/>
            </w:pPr>
            <w:r>
              <w:t>政府信息公开平台、财政预决算平台建设维护项目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政府信息公开平台、财政预决算平台改版建设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1.完成政府信息公开平台、财政预决算平台改版建设，完善信息公开平台，提升电子政务工作效率。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平台测评次数</w:t>
            </w:r>
          </w:p>
        </w:tc>
        <w:tc>
          <w:tcPr>
            <w:tcW w:w="5386" w:type="dxa"/>
            <w:vAlign w:val="center"/>
          </w:tcPr>
          <w:p>
            <w:pPr>
              <w:pStyle w:val="12"/>
            </w:pPr>
            <w:r>
              <w:t>每年对信息公开平台、财政预决算平台测评次数</w:t>
            </w:r>
          </w:p>
        </w:tc>
        <w:tc>
          <w:tcPr>
            <w:tcW w:w="2268" w:type="dxa"/>
            <w:vAlign w:val="center"/>
          </w:tcPr>
          <w:p>
            <w:pPr>
              <w:pStyle w:val="12"/>
            </w:pPr>
            <w:r>
              <w:t>≥3次</w:t>
            </w:r>
          </w:p>
        </w:tc>
        <w:tc>
          <w:tcPr>
            <w:tcW w:w="1276" w:type="dxa"/>
            <w:vAlign w:val="center"/>
          </w:tcPr>
          <w:p>
            <w:pPr>
              <w:pStyle w:val="12"/>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网站呈现效果</w:t>
            </w:r>
          </w:p>
        </w:tc>
        <w:tc>
          <w:tcPr>
            <w:tcW w:w="5386" w:type="dxa"/>
            <w:vAlign w:val="center"/>
          </w:tcPr>
          <w:p>
            <w:pPr>
              <w:pStyle w:val="12"/>
            </w:pPr>
            <w:r>
              <w:t>网站呈现效果与预期效果的比率</w:t>
            </w:r>
          </w:p>
        </w:tc>
        <w:tc>
          <w:tcPr>
            <w:tcW w:w="2268" w:type="dxa"/>
            <w:vAlign w:val="center"/>
          </w:tcPr>
          <w:p>
            <w:pPr>
              <w:pStyle w:val="12"/>
            </w:pPr>
            <w:r>
              <w:t>≥98%</w:t>
            </w:r>
          </w:p>
        </w:tc>
        <w:tc>
          <w:tcPr>
            <w:tcW w:w="1276" w:type="dxa"/>
            <w:vAlign w:val="center"/>
          </w:tcPr>
          <w:p>
            <w:pPr>
              <w:pStyle w:val="12"/>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网站维护升级及时性</w:t>
            </w:r>
          </w:p>
        </w:tc>
        <w:tc>
          <w:tcPr>
            <w:tcW w:w="5386" w:type="dxa"/>
            <w:vAlign w:val="center"/>
          </w:tcPr>
          <w:p>
            <w:pPr>
              <w:pStyle w:val="12"/>
            </w:pPr>
            <w:r>
              <w:t>网站维护升级及时性</w:t>
            </w:r>
          </w:p>
        </w:tc>
        <w:tc>
          <w:tcPr>
            <w:tcW w:w="2268" w:type="dxa"/>
            <w:vAlign w:val="center"/>
          </w:tcPr>
          <w:p>
            <w:pPr>
              <w:pStyle w:val="12"/>
            </w:pPr>
            <w:r>
              <w:t>≥95%</w:t>
            </w:r>
          </w:p>
        </w:tc>
        <w:tc>
          <w:tcPr>
            <w:tcW w:w="1276" w:type="dxa"/>
            <w:vAlign w:val="center"/>
          </w:tcPr>
          <w:p>
            <w:pPr>
              <w:pStyle w:val="12"/>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项目支出成本控制有效性</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群众对政府信息公开的满意率</w:t>
            </w:r>
          </w:p>
        </w:tc>
        <w:tc>
          <w:tcPr>
            <w:tcW w:w="2268" w:type="dxa"/>
            <w:vAlign w:val="center"/>
          </w:tcPr>
          <w:p>
            <w:pPr>
              <w:pStyle w:val="12"/>
            </w:pPr>
            <w:r>
              <w:t>≥90%</w:t>
            </w:r>
          </w:p>
        </w:tc>
        <w:tc>
          <w:tcPr>
            <w:tcW w:w="1276" w:type="dxa"/>
            <w:vAlign w:val="center"/>
          </w:tcPr>
          <w:p>
            <w:pPr>
              <w:pStyle w:val="12"/>
            </w:pPr>
            <w:r>
              <w:t>平台上线标准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12、政务服务便民热线经费-劳务派遣绩效目标表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13062824P00016510003Q</w:t>
            </w:r>
          </w:p>
        </w:tc>
        <w:tc>
          <w:tcPr>
            <w:tcW w:w="2835" w:type="dxa"/>
            <w:vAlign w:val="center"/>
          </w:tcPr>
          <w:p>
            <w:pPr>
              <w:pStyle w:val="10"/>
            </w:pPr>
            <w:r>
              <w:t>项目名称</w:t>
            </w:r>
          </w:p>
        </w:tc>
        <w:tc>
          <w:tcPr>
            <w:tcW w:w="6094" w:type="dxa"/>
            <w:gridSpan w:val="3"/>
            <w:vAlign w:val="center"/>
          </w:tcPr>
          <w:p>
            <w:pPr>
              <w:pStyle w:val="12"/>
            </w:pPr>
            <w:r>
              <w:t>政务服务便民热线经费-劳务派遣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用于热线办劳务派遣人员、提升热线办服务质量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83</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 优化我县12345热线运行机制，进一步提高热线办结率、满意率和整体水平，提升便民服务效率。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接收工单数</w:t>
            </w:r>
          </w:p>
        </w:tc>
        <w:tc>
          <w:tcPr>
            <w:tcW w:w="5386" w:type="dxa"/>
            <w:vAlign w:val="center"/>
          </w:tcPr>
          <w:p>
            <w:pPr>
              <w:pStyle w:val="12"/>
            </w:pPr>
            <w:r>
              <w:t>接受热线工单数</w:t>
            </w:r>
          </w:p>
        </w:tc>
        <w:tc>
          <w:tcPr>
            <w:tcW w:w="2268" w:type="dxa"/>
            <w:vAlign w:val="center"/>
          </w:tcPr>
          <w:p>
            <w:pPr>
              <w:pStyle w:val="12"/>
            </w:pPr>
            <w:r>
              <w:t>≥1000次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系统故障次数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5386" w:type="dxa"/>
            <w:vAlign w:val="center"/>
          </w:tcPr>
          <w:p>
            <w:pPr>
              <w:pStyle w:val="12"/>
            </w:pPr>
            <w:r>
              <w:t>及时处理业务数占总处理数的比率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p>
            <w:pPr>
              <w:pStyle w:val="12"/>
            </w:pP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满意度指标</w:t>
            </w:r>
          </w:p>
        </w:tc>
        <w:tc>
          <w:tcPr>
            <w:tcW w:w="5386" w:type="dxa"/>
            <w:vAlign w:val="center"/>
          </w:tcPr>
          <w:p>
            <w:pPr>
              <w:pStyle w:val="12"/>
            </w:pPr>
            <w:r>
              <w:t>群众对反映问题解决的满意率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434001高阳县人民政府办公室</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高阳县人民政府办公室上年末固定资产金额为478.37万元（详见下表）。本年度拟购置固定资产总额为</w:t>
      </w:r>
      <w:r>
        <w:rPr>
          <w:rFonts w:hint="eastAsia" w:eastAsia="方正仿宋_GBK" w:cs="Times New Roman"/>
          <w:b w:val="0"/>
          <w:color w:val="000000"/>
          <w:sz w:val="28"/>
          <w:lang w:val="en-US" w:eastAsia="zh-CN"/>
        </w:rPr>
        <w:t>13</w:t>
      </w:r>
      <w:r>
        <w:rPr>
          <w:rFonts w:ascii="Times New Roman" w:hAnsi="Times New Roman" w:eastAsia="方正仿宋_GBK" w:cs="Times New Roman"/>
          <w:b w:val="0"/>
          <w:color w:val="000000"/>
          <w:sz w:val="28"/>
        </w:rPr>
        <w:t>.0</w:t>
      </w:r>
      <w:r>
        <w:rPr>
          <w:rFonts w:hint="eastAsia" w:eastAsia="方正仿宋_GBK" w:cs="Times New Roman"/>
          <w:b w:val="0"/>
          <w:color w:val="000000"/>
          <w:sz w:val="28"/>
          <w:lang w:val="en-US" w:eastAsia="zh-CN"/>
        </w:rPr>
        <w:t>9</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434001高阳县人民政府办公室</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478.37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31</w:t>
            </w:r>
          </w:p>
        </w:tc>
        <w:tc>
          <w:tcPr>
            <w:tcW w:w="2835" w:type="dxa"/>
            <w:vAlign w:val="center"/>
          </w:tcPr>
          <w:p>
            <w:pPr>
              <w:pStyle w:val="11"/>
            </w:pPr>
            <w:r>
              <w:t>385.98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375</w:t>
            </w:r>
          </w:p>
        </w:tc>
        <w:tc>
          <w:tcPr>
            <w:tcW w:w="2835" w:type="dxa"/>
            <w:vAlign w:val="center"/>
          </w:tcPr>
          <w:p>
            <w:pPr>
              <w:pStyle w:val="11"/>
            </w:pPr>
            <w:r>
              <w:t>92.39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EFC198F"/>
    <w:rsid w:val="176D6774"/>
    <w:rsid w:val="24E51429"/>
    <w:rsid w:val="297772AC"/>
    <w:rsid w:val="5CDF5DFC"/>
    <w:rsid w:val="622674CC"/>
    <w:rsid w:val="66E31597"/>
    <w:rsid w:val="6D900AD4"/>
    <w:rsid w:val="73172639"/>
    <w:rsid w:val="7A99622B"/>
    <w:rsid w:val="7AAE2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2024-02-08T16:33:39Z</dcterms:created>
  <dcterms:modified xsi:type="dcterms:W3CDTF">2024-02-08T08:33:39Z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2024-02-08T16:33:40Z</dcterms:created>
  <dcterms:modified xsi:type="dcterms:W3CDTF">2024-02-08T08:33:39Z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2024-02-08T16:33:40Z</dcterms:created>
  <dcterms:modified xsi:type="dcterms:W3CDTF">2024-02-08T08:33:40Z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2024-02-08T16:33:40Z</dcterms:created>
  <dcterms:modified xsi:type="dcterms:W3CDTF">2024-02-08T08:33:40Z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2024-02-08T16:33:38Z</dcterms:created>
  <dcterms:modified xsi:type="dcterms:W3CDTF">2024-02-08T08:33:38Z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2024-02-08T16:33:40Z</dcterms:created>
  <dcterms:modified xsi:type="dcterms:W3CDTF">2024-02-08T08:33:40Z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2024-02-08T16:33:41Z</dcterms:created>
  <dcterms:modified xsi:type="dcterms:W3CDTF">2024-02-08T08:33:41Z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2024-02-08T16:33:41Z</dcterms:created>
  <dcterms:modified xsi:type="dcterms:W3CDTF">2024-02-08T08:33:41Z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2024-02-08T16:33:41Z</dcterms:created>
  <dcterms:modified xsi:type="dcterms:W3CDTF">2024-02-08T08:33:41Z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2024-02-08T16:33:36Z</dcterms:created>
  <dcterms:modified xsi:type="dcterms:W3CDTF">2024-02-08T08:33:36Z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2024-02-08T16:33:38Z</dcterms:created>
  <dcterms:modified xsi:type="dcterms:W3CDTF">2024-02-08T08:33:38Z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2024-02-08T16:33:38Z</dcterms:created>
  <dcterms:modified xsi:type="dcterms:W3CDTF">2024-02-08T08:33:38Z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2024-02-08T16:33:33Z</dcterms:created>
  <dcterms:modified xsi:type="dcterms:W3CDTF">2024-02-08T08:33:33Z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2024-02-08T16:33:39Z</dcterms:created>
  <dcterms:modified xsi:type="dcterms:W3CDTF">2024-02-08T08:33:38Z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2024-02-08T16:33:39Z</dcterms:created>
  <dcterms:modified xsi:type="dcterms:W3CDTF">2024-02-08T08:33:39Z</dcterms:modified>
</cp:coreProperties>
</file>

<file path=customXml/itemProps1.xml><?xml version="1.0" encoding="utf-8"?>
<ds:datastoreItem xmlns:ds="http://schemas.openxmlformats.org/officeDocument/2006/customXml" ds:itemID="{98c2d7a6-5e1a-4951-8f77-ff7ec25c7624}">
  <ds:schemaRefs/>
</ds:datastoreItem>
</file>

<file path=customXml/itemProps10.xml><?xml version="1.0" encoding="utf-8"?>
<ds:datastoreItem xmlns:ds="http://schemas.openxmlformats.org/officeDocument/2006/customXml" ds:itemID="{550078cc-ea0f-4395-ac94-c580d6f2c112}">
  <ds:schemaRefs/>
</ds:datastoreItem>
</file>

<file path=customXml/itemProps11.xml><?xml version="1.0" encoding="utf-8"?>
<ds:datastoreItem xmlns:ds="http://schemas.openxmlformats.org/officeDocument/2006/customXml" ds:itemID="{8ed69f2f-ef2f-45b9-bb66-01e993c1894e}">
  <ds:schemaRefs/>
</ds:datastoreItem>
</file>

<file path=customXml/itemProps12.xml><?xml version="1.0" encoding="utf-8"?>
<ds:datastoreItem xmlns:ds="http://schemas.openxmlformats.org/officeDocument/2006/customXml" ds:itemID="{bb4af590-4c55-4a1a-bf7d-774129c23cb4}">
  <ds:schemaRefs/>
</ds:datastoreItem>
</file>

<file path=customXml/itemProps13.xml><?xml version="1.0" encoding="utf-8"?>
<ds:datastoreItem xmlns:ds="http://schemas.openxmlformats.org/officeDocument/2006/customXml" ds:itemID="{2f4488bf-ff2f-448a-8e42-e1f5eb5490f4}">
  <ds:schemaRefs/>
</ds:datastoreItem>
</file>

<file path=customXml/itemProps14.xml><?xml version="1.0" encoding="utf-8"?>
<ds:datastoreItem xmlns:ds="http://schemas.openxmlformats.org/officeDocument/2006/customXml" ds:itemID="{4263d42e-edbe-4716-817f-3185263b40f9}">
  <ds:schemaRefs/>
</ds:datastoreItem>
</file>

<file path=customXml/itemProps15.xml><?xml version="1.0" encoding="utf-8"?>
<ds:datastoreItem xmlns:ds="http://schemas.openxmlformats.org/officeDocument/2006/customXml" ds:itemID="{ca6e10d7-8158-4d03-9936-8b370945b4c7}">
  <ds:schemaRefs/>
</ds:datastoreItem>
</file>

<file path=customXml/itemProps16.xml><?xml version="1.0" encoding="utf-8"?>
<ds:datastoreItem xmlns:ds="http://schemas.openxmlformats.org/officeDocument/2006/customXml" ds:itemID="{66f089b1-b1aa-48f6-a00a-c8e154d632d3}">
  <ds:schemaRefs/>
</ds:datastoreItem>
</file>

<file path=customXml/itemProps17.xml><?xml version="1.0" encoding="utf-8"?>
<ds:datastoreItem xmlns:ds="http://schemas.openxmlformats.org/officeDocument/2006/customXml" ds:itemID="{71ed41d8-7558-4594-9e68-6269cd0f2858}">
  <ds:schemaRefs/>
</ds:datastoreItem>
</file>

<file path=customXml/itemProps18.xml><?xml version="1.0" encoding="utf-8"?>
<ds:datastoreItem xmlns:ds="http://schemas.openxmlformats.org/officeDocument/2006/customXml" ds:itemID="{f0741b28-1cba-43e9-b92f-85d6f48310b2}">
  <ds:schemaRefs/>
</ds:datastoreItem>
</file>

<file path=customXml/itemProps19.xml><?xml version="1.0" encoding="utf-8"?>
<ds:datastoreItem xmlns:ds="http://schemas.openxmlformats.org/officeDocument/2006/customXml" ds:itemID="{a0d511af-fd2e-40d9-b846-b21705027107}">
  <ds:schemaRefs/>
</ds:datastoreItem>
</file>

<file path=customXml/itemProps2.xml><?xml version="1.0" encoding="utf-8"?>
<ds:datastoreItem xmlns:ds="http://schemas.openxmlformats.org/officeDocument/2006/customXml" ds:itemID="{746ced19-2197-4f4b-8397-cf527d960fe7}">
  <ds:schemaRefs/>
</ds:datastoreItem>
</file>

<file path=customXml/itemProps20.xml><?xml version="1.0" encoding="utf-8"?>
<ds:datastoreItem xmlns:ds="http://schemas.openxmlformats.org/officeDocument/2006/customXml" ds:itemID="{1193b500-8ad8-4fad-b320-87342c352548}">
  <ds:schemaRefs/>
</ds:datastoreItem>
</file>

<file path=customXml/itemProps21.xml><?xml version="1.0" encoding="utf-8"?>
<ds:datastoreItem xmlns:ds="http://schemas.openxmlformats.org/officeDocument/2006/customXml" ds:itemID="{223754c7-ad01-4041-b2a0-250714e7fd75}">
  <ds:schemaRefs/>
</ds:datastoreItem>
</file>

<file path=customXml/itemProps22.xml><?xml version="1.0" encoding="utf-8"?>
<ds:datastoreItem xmlns:ds="http://schemas.openxmlformats.org/officeDocument/2006/customXml" ds:itemID="{f96c17a2-344a-4def-b10b-800d461f4426}">
  <ds:schemaRefs/>
</ds:datastoreItem>
</file>

<file path=customXml/itemProps23.xml><?xml version="1.0" encoding="utf-8"?>
<ds:datastoreItem xmlns:ds="http://schemas.openxmlformats.org/officeDocument/2006/customXml" ds:itemID="{90ee328d-702e-4de8-981d-f175b3f5c33e}">
  <ds:schemaRefs/>
</ds:datastoreItem>
</file>

<file path=customXml/itemProps24.xml><?xml version="1.0" encoding="utf-8"?>
<ds:datastoreItem xmlns:ds="http://schemas.openxmlformats.org/officeDocument/2006/customXml" ds:itemID="{f928f00c-b70c-494d-bac7-81dda802fb6d}">
  <ds:schemaRefs/>
</ds:datastoreItem>
</file>

<file path=customXml/itemProps25.xml><?xml version="1.0" encoding="utf-8"?>
<ds:datastoreItem xmlns:ds="http://schemas.openxmlformats.org/officeDocument/2006/customXml" ds:itemID="{565708a4-c5fe-4d61-87bd-80ccd823122c}">
  <ds:schemaRefs/>
</ds:datastoreItem>
</file>

<file path=customXml/itemProps26.xml><?xml version="1.0" encoding="utf-8"?>
<ds:datastoreItem xmlns:ds="http://schemas.openxmlformats.org/officeDocument/2006/customXml" ds:itemID="{32364206-5f6f-4046-af84-9be8d966bcee}">
  <ds:schemaRefs/>
</ds:datastoreItem>
</file>

<file path=customXml/itemProps27.xml><?xml version="1.0" encoding="utf-8"?>
<ds:datastoreItem xmlns:ds="http://schemas.openxmlformats.org/officeDocument/2006/customXml" ds:itemID="{92ab644a-a795-448f-b406-a5e66593acf9}">
  <ds:schemaRefs/>
</ds:datastoreItem>
</file>

<file path=customXml/itemProps28.xml><?xml version="1.0" encoding="utf-8"?>
<ds:datastoreItem xmlns:ds="http://schemas.openxmlformats.org/officeDocument/2006/customXml" ds:itemID="{03279ebd-3a43-4187-8ab9-38e302d013e9}">
  <ds:schemaRefs/>
</ds:datastoreItem>
</file>

<file path=customXml/itemProps29.xml><?xml version="1.0" encoding="utf-8"?>
<ds:datastoreItem xmlns:ds="http://schemas.openxmlformats.org/officeDocument/2006/customXml" ds:itemID="{85623b77-cf34-4415-9324-8664be57196f}">
  <ds:schemaRefs/>
</ds:datastoreItem>
</file>

<file path=customXml/itemProps3.xml><?xml version="1.0" encoding="utf-8"?>
<ds:datastoreItem xmlns:ds="http://schemas.openxmlformats.org/officeDocument/2006/customXml" ds:itemID="{06c479a6-a912-415c-8870-f761e24d5364}">
  <ds:schemaRefs/>
</ds:datastoreItem>
</file>

<file path=customXml/itemProps30.xml><?xml version="1.0" encoding="utf-8"?>
<ds:datastoreItem xmlns:ds="http://schemas.openxmlformats.org/officeDocument/2006/customXml" ds:itemID="{f599749e-509b-4064-99f7-e6c23b103bc0}">
  <ds:schemaRefs/>
</ds:datastoreItem>
</file>

<file path=customXml/itemProps4.xml><?xml version="1.0" encoding="utf-8"?>
<ds:datastoreItem xmlns:ds="http://schemas.openxmlformats.org/officeDocument/2006/customXml" ds:itemID="{69f6d1dd-c71b-4ca5-880f-5e7d93bb468b}">
  <ds:schemaRefs/>
</ds:datastoreItem>
</file>

<file path=customXml/itemProps5.xml><?xml version="1.0" encoding="utf-8"?>
<ds:datastoreItem xmlns:ds="http://schemas.openxmlformats.org/officeDocument/2006/customXml" ds:itemID="{fe228635-440e-40f2-80a4-d8d9df8353ce}">
  <ds:schemaRefs/>
</ds:datastoreItem>
</file>

<file path=customXml/itemProps6.xml><?xml version="1.0" encoding="utf-8"?>
<ds:datastoreItem xmlns:ds="http://schemas.openxmlformats.org/officeDocument/2006/customXml" ds:itemID="{dc1b5a7c-5cab-4c99-8a4c-aec1e46a5a4c}">
  <ds:schemaRefs/>
</ds:datastoreItem>
</file>

<file path=customXml/itemProps7.xml><?xml version="1.0" encoding="utf-8"?>
<ds:datastoreItem xmlns:ds="http://schemas.openxmlformats.org/officeDocument/2006/customXml" ds:itemID="{d4d37785-ca0b-4f08-b9cd-ed03c8124fc6}">
  <ds:schemaRefs/>
</ds:datastoreItem>
</file>

<file path=customXml/itemProps8.xml><?xml version="1.0" encoding="utf-8"?>
<ds:datastoreItem xmlns:ds="http://schemas.openxmlformats.org/officeDocument/2006/customXml" ds:itemID="{c6467a8e-9386-4475-aab4-11a88c45485d}">
  <ds:schemaRefs/>
</ds:datastoreItem>
</file>

<file path=customXml/itemProps9.xml><?xml version="1.0" encoding="utf-8"?>
<ds:datastoreItem xmlns:ds="http://schemas.openxmlformats.org/officeDocument/2006/customXml" ds:itemID="{16d959ed-4594-4105-8f30-d21a9e97a169}">
  <ds:schemaRefs/>
</ds:datastoreItem>
</file>

<file path=docProps/app.xml><?xml version="1.0" encoding="utf-8"?>
<Properties xmlns="http://schemas.openxmlformats.org/officeDocument/2006/extended-properties" xmlns:vt="http://schemas.openxmlformats.org/officeDocument/2006/docPropsVTypes">
  <Pages>44</Pages>
  <Words>10406</Words>
  <Characters>12787</Characters>
  <TotalTime>0</TotalTime>
  <ScaleCrop>false</ScaleCrop>
  <LinksUpToDate>false</LinksUpToDate>
  <CharactersWithSpaces>13017</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2024-02-08T16:33:00Z</dcterms:created>
  <dc:creator>86186</dc:creator>
  <cp:lastModifiedBy>清扬婉兮</cp:lastModifiedBy>
  <dcterms:modified xsi:type="dcterms:W3CDTF">2024-08-19T02:18:38Z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B5D65D49DB584DD8B893DD89D2CABD55</vt:lpwstr>
  </property>
</Properties>
</file>