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17" w:rsidRDefault="0090470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高阳县</w:t>
      </w:r>
      <w:r w:rsidR="00667628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财政局</w:t>
      </w:r>
    </w:p>
    <w:p w:rsidR="00605C17" w:rsidRDefault="0066762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财政资金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绩效自评工作报告</w:t>
      </w:r>
    </w:p>
    <w:p w:rsidR="00605C17" w:rsidRDefault="00605C17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为加强预算项目支出绩效管理，提高财政资金使用效益和公共服务质量，根据《保定市徐水区区级部门预算项目绩效自评管理办法》有关规定，我单位对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年度财政预算项目开展了绩效自评。现将自评情况报告如下：</w:t>
      </w:r>
    </w:p>
    <w:p w:rsidR="00605C17" w:rsidRDefault="00667628">
      <w:pPr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一、绩效自评工作组织开展情况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我单位组织成立了绩效评价工作小组，评价小组采取座谈等方式听取情况，检查专项资金有关账目，检查专项资金支出相关资料，并对绩效自评材料进行分析、总结。我单位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年预算安排本级项目支出</w:t>
      </w:r>
      <w:r w:rsidR="001A674C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76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99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万元，共涉及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个预算项目。我单位严格按照预算安排，加强日常财务管理，严格把握财务管理关，支出时注重预算项目的支出及绩效管理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本次预算项目绩效自评工作，我单位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严格按预算项目的绩效目标、绩效指标和评价标准，对预算项目进行绩效评价打分。</w:t>
      </w:r>
    </w:p>
    <w:p w:rsidR="00605C17" w:rsidRDefault="00667628">
      <w:pPr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E-BX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二、绩效目标实现情况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年，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县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委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县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政府正确领导下，我单位坚持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以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习近平新时代中国特色社会主义思想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为指导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以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迎接学习宣传贯彻党的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二十大为主线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，以人民至上为统领，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以深化改革为动力，全面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落实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疫情要防住、经济要稳住、发展要安全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的重要要求</w:t>
      </w:r>
      <w:r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稳经济一揽子政策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，狠抓收入管理，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妥善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调度资金，优化支出结构，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加强预算绩效管理，发挥了财政在国家治理中的基础和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lastRenderedPageBreak/>
        <w:t>重要支柱作用，为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加快</w:t>
      </w:r>
      <w:r w:rsidR="00904702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建设新时代经济强县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、精心打造现代化品质生活之城提供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了</w:t>
      </w: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有力的财政支撑。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主要有以下几方面：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一）在国库管理方面，国库集中支付电子化代理业务项目，主要用于支付各代理银行代理业务费。通过与各代理银行签订协议，委托各银行代理国库集中支付业务，实现国库集中支付电子化改革顺利实行，进一步规范财政资金管理。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（二）在财政监督管理方面，安排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财政监督管理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经费，主要用于统筹组织各类专项检查、专项治理工作，促进财政预算管理质量不断提升，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财政资金支出更加安全高效，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国有资产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监督管理持续优化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。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安排预算绩效评估评价经费，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把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预算绩效管理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改革深入推进。在我区全面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实施预算绩效管理，制定《预算绩效管理规程》，建立全方位、全过程、全覆盖的预算绩效管理体系，实施预算项目事前绩效评估全覆盖，对预算执行进度和绩效目标实现程度进行双监控。资金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主要用于委托第三方进行专项资金绩效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评估与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评价，发挥绩效评价结果应用，维护财经秩序，提高绩效管理水平。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（三）在财务会计管理方面，安排财政法律法规政策宣传和培训专项，主要是贯彻实施国家会计法律、规章、制度和会计准则，加强对法律法规的政策宣传，并对执行情况进行监督检查；组织对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全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县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财务系统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人员培训，提高了全</w:t>
      </w:r>
      <w:r w:rsidR="00904702"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县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财务人员的业务水平。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四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）在财政政务管理方面，安排了如下专项资金：</w:t>
      </w:r>
    </w:p>
    <w:p w:rsidR="00605C17" w:rsidRDefault="00667628">
      <w:pPr>
        <w:spacing w:line="600" w:lineRule="exact"/>
        <w:ind w:firstLineChars="200" w:firstLine="64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、安排财政网络和设备运行维护及建设专项经费，保障了财政内网和财政专网的正常运行，保障了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各项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>财政业务的顺利进行。</w:t>
      </w:r>
    </w:p>
    <w:p w:rsidR="00605C17" w:rsidRDefault="00904702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</w:t>
      </w:r>
      <w:r w:rsidR="0066762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、安排财政信息化建设专项经费，主要用于</w:t>
      </w:r>
      <w:r w:rsidR="0066762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监控平台的建设。因为此项目按照保定市财政局统一安排部署进行，</w:t>
      </w:r>
      <w:r w:rsidR="0066762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2022</w:t>
      </w:r>
      <w:r w:rsidR="00667628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年我单位未自行开展业务监控平台建设。</w:t>
      </w:r>
    </w:p>
    <w:p w:rsidR="00605C17" w:rsidRPr="00904702" w:rsidRDefault="00904702" w:rsidP="00904702">
      <w:pPr>
        <w:spacing w:line="600" w:lineRule="exact"/>
        <w:ind w:firstLineChars="200" w:firstLine="616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3</w:t>
      </w:r>
      <w:r w:rsidR="00667628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、安排落实财政政策措施真抓实干成效明显地方督查激励奖励资金，专项用于预算绩效管理改革深入推进、</w:t>
      </w:r>
      <w:r w:rsidR="00667628">
        <w:rPr>
          <w:rFonts w:ascii="Times New Roman" w:eastAsia="方正仿宋_GBK" w:hAnsi="Times New Roman" w:cs="Times New Roman" w:hint="eastAsia"/>
          <w:spacing w:val="-4"/>
          <w:sz w:val="32"/>
          <w:szCs w:val="32"/>
        </w:rPr>
        <w:t>国库集中支付电子化改革、</w:t>
      </w:r>
      <w:r w:rsidR="00667628">
        <w:rPr>
          <w:rFonts w:ascii="Times New Roman" w:eastAsia="方正仿宋_GBK" w:hAnsi="Times New Roman" w:cs="Times New Roman" w:hint="eastAsia"/>
          <w:spacing w:val="-6"/>
          <w:sz w:val="32"/>
          <w:szCs w:val="32"/>
        </w:rPr>
        <w:t>财政信息化建设高效实施等财政改革各方面支出。</w:t>
      </w:r>
      <w:r w:rsidR="00667628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</w:t>
      </w:r>
    </w:p>
    <w:p w:rsidR="00605C17" w:rsidRDefault="00667628">
      <w:pPr>
        <w:spacing w:line="6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605C17" w:rsidRDefault="00667628">
      <w:pPr>
        <w:spacing w:line="600" w:lineRule="exact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根据通知要求，我单位通过绩效自评结果对比倒查年初绩效目标，经过比对，我单位预</w:t>
      </w:r>
      <w:bookmarkStart w:id="0" w:name="_GoBack"/>
      <w:bookmarkEnd w:id="0"/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算项目绩效目标设定总体上比较清晰准确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,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绩效指标比较全面完整、科学合理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,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绩效标准比较恰当适宜。项目实施取得了预期效果，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年度预算项目绩效自评综合得分</w:t>
      </w:r>
      <w:r w:rsidR="001A674C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87.67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分，评价结果为优。</w:t>
      </w:r>
    </w:p>
    <w:p w:rsidR="00605C17" w:rsidRDefault="00667628">
      <w:pPr>
        <w:spacing w:line="600" w:lineRule="exact"/>
        <w:ind w:firstLine="645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605C17" w:rsidRDefault="00667628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通过开展预算项目绩效自评工作，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明确了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预算绩效管理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工作改进的方向。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要继续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全面实施预算绩效管理，建立全方位、全过程、全覆盖的预算绩效管理体系，实施预算项目事前绩效评估全覆盖，对预算执行进度和绩效目标实现程度进行双监控。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不断完善工作机制和工作流程，细化工作方案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结合项目实际情况，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制订科学合理的绩效目标及绩效指标，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lastRenderedPageBreak/>
        <w:t>做到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可量化，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切实可行。同时，规范财政资金使用和管理，做到专款专用，在完善项目资料的基础上，按进度支付资金。对于日常管理中存在的问题，及时完善和整改，防止项目执行过程中出现偏差。</w:t>
      </w:r>
    </w:p>
    <w:p w:rsidR="00605C17" w:rsidRDefault="00605C17">
      <w:pPr>
        <w:spacing w:line="60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</w:p>
    <w:p w:rsidR="00605C17" w:rsidRDefault="00667628">
      <w:pPr>
        <w:spacing w:line="60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 w:hint="eastAsia"/>
          <w:color w:val="000000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 xml:space="preserve">     </w:t>
      </w:r>
    </w:p>
    <w:p w:rsidR="00605C17" w:rsidRDefault="00605C17">
      <w:pPr>
        <w:spacing w:line="600" w:lineRule="exact"/>
        <w:ind w:firstLine="645"/>
        <w:rPr>
          <w:rFonts w:ascii="仿宋_GB2312" w:eastAsia="仿宋_GB2312" w:hAnsi="FZFSK--GBK1-0" w:cs="宋体"/>
          <w:color w:val="000000"/>
          <w:kern w:val="0"/>
          <w:sz w:val="32"/>
          <w:szCs w:val="32"/>
        </w:rPr>
      </w:pPr>
    </w:p>
    <w:p w:rsidR="00605C17" w:rsidRDefault="00667628">
      <w:pPr>
        <w:spacing w:line="600" w:lineRule="exact"/>
        <w:ind w:firstLineChars="1550" w:firstLine="4960"/>
        <w:rPr>
          <w:rFonts w:ascii="Times New Roman" w:eastAsia="方正仿宋_GBK" w:hAnsi="Times New Roman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FZFSK--GBK1-0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 xml:space="preserve"> 202</w:t>
      </w:r>
      <w:r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日</w:t>
      </w:r>
    </w:p>
    <w:sectPr w:rsidR="00605C17" w:rsidSect="00605C17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28" w:rsidRDefault="00667628" w:rsidP="00605C17">
      <w:r>
        <w:separator/>
      </w:r>
    </w:p>
  </w:endnote>
  <w:endnote w:type="continuationSeparator" w:id="0">
    <w:p w:rsidR="00667628" w:rsidRDefault="00667628" w:rsidP="0060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E-BX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419269"/>
    </w:sdtPr>
    <w:sdtContent>
      <w:p w:rsidR="00605C17" w:rsidRDefault="00605C17">
        <w:pPr>
          <w:pStyle w:val="a4"/>
          <w:jc w:val="center"/>
        </w:pPr>
        <w:r>
          <w:fldChar w:fldCharType="begin"/>
        </w:r>
        <w:r w:rsidR="00667628">
          <w:instrText>PAGE   \* MERGEFORMAT</w:instrText>
        </w:r>
        <w:r>
          <w:fldChar w:fldCharType="separate"/>
        </w:r>
        <w:r w:rsidR="001A674C" w:rsidRPr="001A674C">
          <w:rPr>
            <w:noProof/>
            <w:lang w:val="zh-CN"/>
          </w:rPr>
          <w:t>-</w:t>
        </w:r>
        <w:r w:rsidR="001A674C">
          <w:rPr>
            <w:noProof/>
          </w:rPr>
          <w:t xml:space="preserve"> 2 -</w:t>
        </w:r>
        <w:r>
          <w:fldChar w:fldCharType="end"/>
        </w:r>
      </w:p>
    </w:sdtContent>
  </w:sdt>
  <w:p w:rsidR="00605C17" w:rsidRDefault="00605C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91332"/>
    </w:sdtPr>
    <w:sdtContent>
      <w:p w:rsidR="00605C17" w:rsidRDefault="00605C17">
        <w:pPr>
          <w:pStyle w:val="a4"/>
          <w:jc w:val="center"/>
        </w:pPr>
        <w:r>
          <w:fldChar w:fldCharType="begin"/>
        </w:r>
        <w:r w:rsidR="00667628">
          <w:instrText xml:space="preserve"> PAGE   \* MERGEFORMAT </w:instrText>
        </w:r>
        <w:r>
          <w:fldChar w:fldCharType="separate"/>
        </w:r>
        <w:r w:rsidR="00667628">
          <w:rPr>
            <w:lang w:val="zh-CN"/>
          </w:rPr>
          <w:t>-</w:t>
        </w:r>
        <w:r w:rsidR="00667628">
          <w:t xml:space="preserve"> 1 -</w:t>
        </w:r>
        <w:r>
          <w:fldChar w:fldCharType="end"/>
        </w:r>
      </w:p>
    </w:sdtContent>
  </w:sdt>
  <w:p w:rsidR="00605C17" w:rsidRDefault="00605C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28" w:rsidRDefault="00667628" w:rsidP="00605C17">
      <w:r>
        <w:separator/>
      </w:r>
    </w:p>
  </w:footnote>
  <w:footnote w:type="continuationSeparator" w:id="0">
    <w:p w:rsidR="00667628" w:rsidRDefault="00667628" w:rsidP="00605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D1"/>
    <w:rsid w:val="000070DF"/>
    <w:rsid w:val="000A3DB5"/>
    <w:rsid w:val="001A674C"/>
    <w:rsid w:val="001B7745"/>
    <w:rsid w:val="003125F9"/>
    <w:rsid w:val="003306F2"/>
    <w:rsid w:val="00373BB9"/>
    <w:rsid w:val="003D595B"/>
    <w:rsid w:val="003E71D1"/>
    <w:rsid w:val="00411021"/>
    <w:rsid w:val="00415A1A"/>
    <w:rsid w:val="004264C2"/>
    <w:rsid w:val="00446478"/>
    <w:rsid w:val="00484A25"/>
    <w:rsid w:val="004F5315"/>
    <w:rsid w:val="00502479"/>
    <w:rsid w:val="00514B74"/>
    <w:rsid w:val="005C03DB"/>
    <w:rsid w:val="006026C9"/>
    <w:rsid w:val="00605C17"/>
    <w:rsid w:val="00667628"/>
    <w:rsid w:val="006C1DFF"/>
    <w:rsid w:val="006D6426"/>
    <w:rsid w:val="00752078"/>
    <w:rsid w:val="0076625E"/>
    <w:rsid w:val="007F2C63"/>
    <w:rsid w:val="008551A0"/>
    <w:rsid w:val="00863456"/>
    <w:rsid w:val="00875C91"/>
    <w:rsid w:val="0089298E"/>
    <w:rsid w:val="008B380B"/>
    <w:rsid w:val="008B6A6A"/>
    <w:rsid w:val="00904702"/>
    <w:rsid w:val="0092788D"/>
    <w:rsid w:val="009908BF"/>
    <w:rsid w:val="009A1FAC"/>
    <w:rsid w:val="009C7C69"/>
    <w:rsid w:val="009F58F6"/>
    <w:rsid w:val="00A14851"/>
    <w:rsid w:val="00A258F8"/>
    <w:rsid w:val="00A3254A"/>
    <w:rsid w:val="00A74726"/>
    <w:rsid w:val="00A97C7C"/>
    <w:rsid w:val="00B62A28"/>
    <w:rsid w:val="00C41E90"/>
    <w:rsid w:val="00C643D8"/>
    <w:rsid w:val="00CE48D2"/>
    <w:rsid w:val="00CF3D1A"/>
    <w:rsid w:val="00D066C2"/>
    <w:rsid w:val="00D27DF3"/>
    <w:rsid w:val="00D46D74"/>
    <w:rsid w:val="00D604DB"/>
    <w:rsid w:val="00DB3316"/>
    <w:rsid w:val="00DC3597"/>
    <w:rsid w:val="00DD3256"/>
    <w:rsid w:val="00DF5F74"/>
    <w:rsid w:val="00E62345"/>
    <w:rsid w:val="00E956EA"/>
    <w:rsid w:val="00ED14D3"/>
    <w:rsid w:val="00F01979"/>
    <w:rsid w:val="00F83954"/>
    <w:rsid w:val="00F90A0B"/>
    <w:rsid w:val="00FA67BB"/>
    <w:rsid w:val="00FD51B2"/>
    <w:rsid w:val="00FF4FEA"/>
    <w:rsid w:val="012338E1"/>
    <w:rsid w:val="0E1364CF"/>
    <w:rsid w:val="23165F3E"/>
    <w:rsid w:val="24E47EAE"/>
    <w:rsid w:val="269B7263"/>
    <w:rsid w:val="2808107A"/>
    <w:rsid w:val="2CFA31CA"/>
    <w:rsid w:val="32A07E21"/>
    <w:rsid w:val="378273A7"/>
    <w:rsid w:val="3D8441F8"/>
    <w:rsid w:val="47024956"/>
    <w:rsid w:val="482C6DE9"/>
    <w:rsid w:val="4BB50ABF"/>
    <w:rsid w:val="4CFD6280"/>
    <w:rsid w:val="4D1107FD"/>
    <w:rsid w:val="4D145688"/>
    <w:rsid w:val="53A0285A"/>
    <w:rsid w:val="5630495C"/>
    <w:rsid w:val="5B4B42C4"/>
    <w:rsid w:val="5BA37494"/>
    <w:rsid w:val="5F686604"/>
    <w:rsid w:val="60D541B8"/>
    <w:rsid w:val="67CA1367"/>
    <w:rsid w:val="6CE04EA0"/>
    <w:rsid w:val="6EC939E2"/>
    <w:rsid w:val="789A7E32"/>
    <w:rsid w:val="7D0A4B89"/>
    <w:rsid w:val="7D6778CC"/>
    <w:rsid w:val="7F3E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05C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5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5C1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05C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05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2022-11-04T11:26:00Z</cp:lastPrinted>
  <dcterms:created xsi:type="dcterms:W3CDTF">2023-11-30T02:59:00Z</dcterms:created>
  <dcterms:modified xsi:type="dcterms:W3CDTF">2023-11-30T02:59:00Z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39AA7A6635204243A750D8357DDF9A88</vt:lpwstr>
  </property>
</Properties>
</file>