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高阳县人民政府办公室</w:t>
      </w:r>
    </w:p>
    <w:p>
      <w:pPr>
        <w:snapToGrid w:val="0"/>
        <w:spacing w:line="50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部门整体支出绩效自评工作报告</w:t>
      </w:r>
    </w:p>
    <w:p>
      <w:pPr>
        <w:snapToGrid w:val="0"/>
        <w:spacing w:line="50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00" w:lineRule="atLeas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一、绩效自评工作组织开展情况</w:t>
      </w:r>
    </w:p>
    <w:p>
      <w:pPr>
        <w:snapToGrid w:val="0"/>
        <w:spacing w:line="500" w:lineRule="atLeas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（一）部门绩效自评工作组织情况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高阳县人民政府办公室严格按照县财政局通知要求，确定以县政府办公室为本部门</w:t>
      </w:r>
      <w:r>
        <w:rPr>
          <w:rFonts w:hint="eastAsia" w:ascii="仿宋" w:hAnsi="仿宋" w:eastAsia="仿宋"/>
          <w:sz w:val="30"/>
          <w:szCs w:val="30"/>
          <w:lang w:eastAsia="zh-CN"/>
        </w:rPr>
        <w:t>以后</w:t>
      </w:r>
      <w:r>
        <w:rPr>
          <w:rFonts w:hint="eastAsia" w:ascii="仿宋" w:hAnsi="仿宋" w:eastAsia="仿宋"/>
          <w:sz w:val="30"/>
          <w:szCs w:val="30"/>
        </w:rPr>
        <w:t>年度绩效自评工作主体，成立了以县政府办公室主任为组长的绩效自评工作领导小组，召开机关班子会议，出台了《高阳县人民政府办公室预算绩效管理实施方案》，开展了绩效自评工作。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（二）部门绩效自评工作实施过程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根据县财政局绩效自评管理办法及办公室预算绩效管理实施方案，办公室绩效自评工作领导小组着重对202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年度办公室整体支出情况进行了绩效自评。自评工作遵循全面覆盖、程序简便、客观公正、公开透明原则，以国家法律法规、方针政策和财政部门相关制度为主要依据，组织专业人员对所有项目预算、绩效设定、执行、资金支付等环节进行全面考量，采取量化评分的形式进行。根据自评情况，填写了绩效自评表，并对自评工作进行了全面总结，形成了专题报告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（三）部门预算安排及资金分配拨付情况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年预算安排经费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732.43</w:t>
      </w:r>
      <w:r>
        <w:rPr>
          <w:rFonts w:hint="eastAsia" w:ascii="仿宋" w:hAnsi="仿宋" w:eastAsia="仿宋"/>
          <w:sz w:val="30"/>
          <w:szCs w:val="30"/>
        </w:rPr>
        <w:t>万元，其中非限额补助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443.37</w:t>
      </w:r>
      <w:r>
        <w:rPr>
          <w:rFonts w:hint="eastAsia" w:ascii="仿宋" w:hAnsi="仿宋" w:eastAsia="仿宋"/>
          <w:sz w:val="30"/>
          <w:szCs w:val="30"/>
        </w:rPr>
        <w:t>万元。包括人员经费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284.95</w:t>
      </w:r>
      <w:r>
        <w:rPr>
          <w:rFonts w:hint="eastAsia" w:ascii="仿宋" w:hAnsi="仿宋" w:eastAsia="仿宋"/>
          <w:sz w:val="30"/>
          <w:szCs w:val="30"/>
        </w:rPr>
        <w:t>万元，日常公用经费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158.42</w:t>
      </w:r>
      <w:r>
        <w:rPr>
          <w:rFonts w:hint="eastAsia" w:ascii="仿宋" w:hAnsi="仿宋" w:eastAsia="仿宋"/>
          <w:sz w:val="30"/>
          <w:szCs w:val="30"/>
        </w:rPr>
        <w:t>元，项目支出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289.06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</w:t>
      </w:r>
      <w:r>
        <w:rPr>
          <w:rFonts w:hint="eastAsia" w:ascii="仿宋" w:hAnsi="仿宋" w:eastAsia="仿宋"/>
          <w:sz w:val="30"/>
          <w:szCs w:val="30"/>
          <w:lang w:eastAsia="zh-CN"/>
        </w:rPr>
        <w:t>本年度</w:t>
      </w:r>
      <w:r>
        <w:rPr>
          <w:rFonts w:hint="eastAsia" w:ascii="仿宋" w:hAnsi="仿宋" w:eastAsia="仿宋"/>
          <w:sz w:val="30"/>
          <w:szCs w:val="30"/>
        </w:rPr>
        <w:t>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个，</w:t>
      </w:r>
      <w:r>
        <w:rPr>
          <w:rFonts w:ascii="仿宋" w:hAnsi="仿宋" w:eastAsia="仿宋"/>
          <w:sz w:val="30"/>
          <w:szCs w:val="30"/>
        </w:rPr>
        <w:t>主要用于高阳县</w:t>
      </w:r>
      <w:r>
        <w:rPr>
          <w:rFonts w:hint="eastAsia" w:ascii="仿宋" w:hAnsi="仿宋" w:eastAsia="仿宋"/>
          <w:sz w:val="30"/>
          <w:szCs w:val="30"/>
        </w:rPr>
        <w:t>政府办网络光纤租用费（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23.82</w:t>
      </w:r>
      <w:r>
        <w:rPr>
          <w:rFonts w:hint="eastAsia" w:ascii="仿宋" w:hAnsi="仿宋" w:eastAsia="仿宋"/>
          <w:sz w:val="30"/>
          <w:szCs w:val="30"/>
        </w:rPr>
        <w:t>万元），广告牌租赁费（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0.00万元），人防专项经费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25.94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</w:rPr>
        <w:t>高阳县公务用车服务平台车辆经费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35.75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  <w:lang w:eastAsia="zh-CN"/>
        </w:rPr>
        <w:t>人防测绘费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13.00</w:t>
      </w:r>
      <w:r>
        <w:rPr>
          <w:rFonts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</w:rPr>
        <w:t>，政府办招商引资（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48.33</w:t>
      </w:r>
      <w:r>
        <w:rPr>
          <w:rFonts w:hint="eastAsia" w:ascii="仿宋" w:hAnsi="仿宋" w:eastAsia="仿宋"/>
          <w:sz w:val="30"/>
          <w:szCs w:val="30"/>
        </w:rPr>
        <w:t>万元），金融工作（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19.45</w:t>
      </w:r>
      <w:r>
        <w:rPr>
          <w:rFonts w:hint="eastAsia"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  <w:lang w:eastAsia="zh-CN"/>
        </w:rPr>
        <w:t>大气办工作经费（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5.69万元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），政府法律顾问经费（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20.00万元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），政务服务便民热线经费（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15.1万元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），公务用车购置费（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17.96万元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</w:t>
      </w:r>
      <w:r>
        <w:rPr>
          <w:rFonts w:hint="eastAsia" w:ascii="仿宋" w:hAnsi="仿宋" w:eastAsia="仿宋"/>
          <w:sz w:val="30"/>
          <w:szCs w:val="30"/>
        </w:rPr>
        <w:t>地方志工作（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11.58</w:t>
      </w:r>
      <w:r>
        <w:rPr>
          <w:rFonts w:hint="eastAsia"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治超工作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2.44</w:t>
      </w:r>
      <w:r>
        <w:rPr>
          <w:rFonts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  <w:lang w:eastAsia="zh-CN"/>
        </w:rPr>
        <w:t>，企业挂牌上市奖励资金（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15.00</w:t>
      </w:r>
      <w:r>
        <w:rPr>
          <w:rFonts w:hint="eastAsia" w:ascii="仿宋" w:hAnsi="仿宋" w:eastAsia="仿宋"/>
          <w:sz w:val="30"/>
          <w:szCs w:val="30"/>
          <w:lang w:eastAsia="zh-CN"/>
        </w:rPr>
        <w:t>万元）以及保财金【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/>
          <w:sz w:val="30"/>
          <w:szCs w:val="30"/>
          <w:lang w:eastAsia="zh-CN"/>
        </w:rPr>
        <w:t>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11号-2022年</w:t>
      </w:r>
      <w:r>
        <w:rPr>
          <w:rFonts w:hint="eastAsia" w:ascii="仿宋" w:hAnsi="仿宋" w:eastAsia="仿宋"/>
          <w:sz w:val="30"/>
          <w:szCs w:val="30"/>
          <w:lang w:eastAsia="zh-CN"/>
        </w:rPr>
        <w:t>企业挂牌上市奖励资金（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15.00</w:t>
      </w:r>
      <w:r>
        <w:rPr>
          <w:rFonts w:hint="eastAsia" w:ascii="仿宋" w:hAnsi="仿宋" w:eastAsia="仿宋"/>
          <w:sz w:val="30"/>
          <w:szCs w:val="30"/>
          <w:lang w:eastAsia="zh-CN"/>
        </w:rPr>
        <w:t>万元）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已拨付到位并严格按照支出内容支出。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（四）部门日常财务管理情况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年度，县政府办公室严格按照相关法律法规和财务制度不断完善、加强财务管理。健全了财务管理和监督相关制度，出台了相关管理办法，资金申请和拨付严格按照财务制度和有关程序，预算、决算工作坚持公开透明，财务工作日趋规范。</w:t>
      </w:r>
    </w:p>
    <w:p>
      <w:pPr>
        <w:snapToGrid w:val="0"/>
        <w:spacing w:line="500" w:lineRule="atLeas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二、绩效目标实现情况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（一）部门整体工作开展情况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eastAsia="zh-CN"/>
        </w:rPr>
        <w:t>度</w:t>
      </w:r>
      <w:r>
        <w:rPr>
          <w:rFonts w:ascii="仿宋" w:hAnsi="仿宋" w:eastAsia="仿宋"/>
          <w:sz w:val="30"/>
          <w:szCs w:val="30"/>
        </w:rPr>
        <w:t>，政府办公室紧紧围绕县委、县政府确定的各项重点工作，坚持目标要求与实际工作相结合，解决问题与提高素质相结合，进一步增强推动加快发展、科学发展的信心和决心，强化中心意识、服务意识和效率意识，团结协作，求真务实，攻坚克难，确保圆满完成全年任务目标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第一、</w:t>
      </w:r>
      <w:r>
        <w:rPr>
          <w:rFonts w:ascii="仿宋" w:hAnsi="仿宋" w:eastAsia="仿宋"/>
          <w:sz w:val="30"/>
          <w:szCs w:val="30"/>
        </w:rPr>
        <w:t>总体思路</w:t>
      </w:r>
    </w:p>
    <w:p>
      <w:pPr>
        <w:snapToGrid w:val="0"/>
        <w:spacing w:line="500" w:lineRule="atLeas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t>以党的</w:t>
      </w:r>
      <w:r>
        <w:rPr>
          <w:rFonts w:hint="eastAsia" w:ascii="仿宋" w:hAnsi="仿宋" w:eastAsia="仿宋"/>
          <w:sz w:val="30"/>
          <w:szCs w:val="30"/>
          <w:lang w:eastAsia="zh-CN"/>
        </w:rPr>
        <w:t>二十</w:t>
      </w:r>
      <w:r>
        <w:rPr>
          <w:rFonts w:ascii="仿宋" w:hAnsi="仿宋" w:eastAsia="仿宋"/>
          <w:sz w:val="30"/>
          <w:szCs w:val="30"/>
        </w:rPr>
        <w:t>大和全国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两会精神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为指导，认真落实县委、县政府的决策部署，以“增强全局意识、改进机关作风、提高工作水平、促进科学发展”为主题，突出中心，强化管理，主动协调，高效服务，努力开创办公室各项工作新局面。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</w:t>
      </w:r>
      <w:r>
        <w:rPr>
          <w:rFonts w:ascii="仿宋" w:hAnsi="仿宋" w:eastAsia="仿宋"/>
          <w:sz w:val="30"/>
          <w:szCs w:val="30"/>
        </w:rPr>
        <w:t>二、目标要求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高质量办文。起草文件要做到思路明确、内容翔实；传送文件要保证程序合理、格式规范；印发文件要力争及时准确。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高水平办事。在做好办公室日常公务接待的同时，着力做好县政府和办公室领导交办的各项工作，切实做到为领导服务优质高效，为机关、基层服务尽心尽力。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高标准办会。认真做好政府全会、政府常务会、县长办公会及其他专项会议的会务组织工作，会前做好会议通知、会场布置、人员签到，会中做好会议记录，会后及时制发会议纪要，确保会议部署的工作如期落实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</w:t>
      </w:r>
      <w:r>
        <w:rPr>
          <w:rFonts w:ascii="仿宋" w:hAnsi="仿宋" w:eastAsia="仿宋"/>
          <w:sz w:val="30"/>
          <w:szCs w:val="30"/>
        </w:rPr>
        <w:t>三、工作重点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是中心工作要取得新进展。把思想和行动统一到县委、县政府对经济发展的分析决策上来，以稳增长、调结构、攻重点、抓改革、惠民生、优环境为着力点，围绕产业升级、项目建设、农业现代化、文化建设、两个环境建设等重点工作，进一步加大协调和服务力度，及时解决工作进展中遇到的困难和问题，确保各项工作落到实处。</w:t>
      </w:r>
    </w:p>
    <w:p>
      <w:pPr>
        <w:snapToGrid w:val="0"/>
        <w:spacing w:line="500" w:lineRule="atLeas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二是参谋助手作用要发挥新水平。进一步强化服务意识，努力实现由单一性服务向全方位服务转变，一般化服务向深层次服务转变。深化信息服务，提高信息报送质量，准确把握国策、县情、民意，及时反映重要情况、先进做法和成功经验，做到灵敏捕捉，及时报送；针对经济社会发展中的突出矛盾和深层次问题，有针对性的开展调查研究，为领导决策提供科学依据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（二）专项资金和具体预算支出项目的预期绩效目标完成情况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本年度</w:t>
      </w:r>
      <w:r>
        <w:rPr>
          <w:rFonts w:hint="eastAsia" w:ascii="仿宋" w:hAnsi="仿宋" w:eastAsia="仿宋"/>
          <w:sz w:val="30"/>
          <w:szCs w:val="30"/>
        </w:rPr>
        <w:t>项目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/>
          <w:sz w:val="30"/>
          <w:szCs w:val="30"/>
        </w:rPr>
        <w:t>个，</w:t>
      </w:r>
      <w:r>
        <w:rPr>
          <w:rFonts w:ascii="仿宋" w:hAnsi="仿宋" w:eastAsia="仿宋"/>
          <w:sz w:val="30"/>
          <w:szCs w:val="30"/>
        </w:rPr>
        <w:t>主要用于高阳县</w:t>
      </w:r>
      <w:r>
        <w:rPr>
          <w:rFonts w:hint="eastAsia" w:ascii="仿宋" w:hAnsi="仿宋" w:eastAsia="仿宋"/>
          <w:sz w:val="30"/>
          <w:szCs w:val="30"/>
        </w:rPr>
        <w:t>政府办网络光纤租用费（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23.82</w:t>
      </w:r>
      <w:r>
        <w:rPr>
          <w:rFonts w:hint="eastAsia" w:ascii="仿宋" w:hAnsi="仿宋" w:eastAsia="仿宋"/>
          <w:sz w:val="30"/>
          <w:szCs w:val="30"/>
        </w:rPr>
        <w:t>万元），广告牌租赁费（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0.00万元），人防专项经费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25.94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</w:rPr>
        <w:t>高阳县公务用车服务平台车辆经费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35.75</w:t>
      </w:r>
      <w:r>
        <w:rPr>
          <w:rFonts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  <w:lang w:eastAsia="zh-CN"/>
        </w:rPr>
        <w:t>人防测绘费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13.00</w:t>
      </w:r>
      <w:r>
        <w:rPr>
          <w:rFonts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</w:rPr>
        <w:t>，政府办招商引资（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48.33</w:t>
      </w:r>
      <w:r>
        <w:rPr>
          <w:rFonts w:hint="eastAsia" w:ascii="仿宋" w:hAnsi="仿宋" w:eastAsia="仿宋"/>
          <w:sz w:val="30"/>
          <w:szCs w:val="30"/>
        </w:rPr>
        <w:t>万元），金融工作（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19.45</w:t>
      </w:r>
      <w:r>
        <w:rPr>
          <w:rFonts w:hint="eastAsia" w:ascii="仿宋" w:hAnsi="仿宋" w:eastAsia="仿宋"/>
          <w:sz w:val="30"/>
          <w:szCs w:val="30"/>
        </w:rPr>
        <w:t>万元），</w:t>
      </w:r>
      <w:r>
        <w:rPr>
          <w:rFonts w:hint="eastAsia" w:ascii="仿宋" w:hAnsi="仿宋" w:eastAsia="仿宋"/>
          <w:sz w:val="30"/>
          <w:szCs w:val="30"/>
          <w:lang w:eastAsia="zh-CN"/>
        </w:rPr>
        <w:t>大气办工作经费（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5.69万元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），政府法律顾问经费（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20.00万元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），政务服务便民热线经费（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15.1万元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），公务用车购置费（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17.96万元</w:t>
      </w:r>
      <w:r>
        <w:rPr>
          <w:rFonts w:hint="eastAsia" w:ascii="仿宋" w:hAnsi="仿宋" w:eastAsia="仿宋"/>
          <w:sz w:val="30"/>
          <w:szCs w:val="30"/>
          <w:lang w:eastAsia="zh-CN"/>
        </w:rPr>
        <w:t>），</w:t>
      </w:r>
      <w:r>
        <w:rPr>
          <w:rFonts w:hint="eastAsia" w:ascii="仿宋" w:hAnsi="仿宋" w:eastAsia="仿宋"/>
          <w:sz w:val="30"/>
          <w:szCs w:val="30"/>
        </w:rPr>
        <w:t>地方志工作（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11.58</w:t>
      </w:r>
      <w:r>
        <w:rPr>
          <w:rFonts w:hint="eastAsia"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治超工作</w:t>
      </w: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2.44</w:t>
      </w:r>
      <w:r>
        <w:rPr>
          <w:rFonts w:ascii="仿宋" w:hAnsi="仿宋" w:eastAsia="仿宋"/>
          <w:sz w:val="30"/>
          <w:szCs w:val="30"/>
        </w:rPr>
        <w:t>万元）</w:t>
      </w:r>
      <w:r>
        <w:rPr>
          <w:rFonts w:hint="eastAsia" w:ascii="仿宋" w:hAnsi="仿宋" w:eastAsia="仿宋"/>
          <w:sz w:val="30"/>
          <w:szCs w:val="30"/>
          <w:lang w:eastAsia="zh-CN"/>
        </w:rPr>
        <w:t>，企业挂牌上市奖励资金（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15.00</w:t>
      </w:r>
      <w:r>
        <w:rPr>
          <w:rFonts w:hint="eastAsia" w:ascii="仿宋" w:hAnsi="仿宋" w:eastAsia="仿宋"/>
          <w:sz w:val="30"/>
          <w:szCs w:val="30"/>
          <w:lang w:eastAsia="zh-CN"/>
        </w:rPr>
        <w:t>万元）以及保财金【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2022</w:t>
      </w:r>
      <w:r>
        <w:rPr>
          <w:rFonts w:hint="eastAsia" w:ascii="仿宋" w:hAnsi="仿宋" w:eastAsia="仿宋"/>
          <w:sz w:val="30"/>
          <w:szCs w:val="30"/>
          <w:lang w:eastAsia="zh-CN"/>
        </w:rPr>
        <w:t>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11号-2022年</w:t>
      </w:r>
      <w:r>
        <w:rPr>
          <w:rFonts w:hint="eastAsia" w:ascii="仿宋" w:hAnsi="仿宋" w:eastAsia="仿宋"/>
          <w:sz w:val="30"/>
          <w:szCs w:val="30"/>
          <w:lang w:eastAsia="zh-CN"/>
        </w:rPr>
        <w:t>企业挂牌上市奖励资金（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15.00</w:t>
      </w:r>
      <w:r>
        <w:rPr>
          <w:rFonts w:hint="eastAsia" w:ascii="仿宋" w:hAnsi="仿宋" w:eastAsia="仿宋"/>
          <w:sz w:val="30"/>
          <w:szCs w:val="30"/>
          <w:lang w:eastAsia="zh-CN"/>
        </w:rPr>
        <w:t>万元）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</w:rPr>
        <w:t>已拨付到位并严格按照支出内容支出。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（三）存在问题及评价结论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自查自评，财务开支中存在科目不明晰、项目支出科目有待细化、项目支出进度未按照年初预算进行等问题。绩效自评工作领导小组认为，各项目绩效目标总体按照预算较好完成，但是存在支出科目不明晰、支出进度不规范等问题，需要在今后工作中认真加以改进。</w:t>
      </w:r>
    </w:p>
    <w:p>
      <w:pPr>
        <w:snapToGrid w:val="0"/>
        <w:spacing w:line="500" w:lineRule="atLeas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三、绩效目标设定质量情况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一是项目资金申请、支出后置，对项目如期完成造成一定影响。因此，今后设定年初项目时，应通盘考虑全年工作，争取与财政部门沟通协调，把所有项目列入预算内。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二是项目设置不够精细。设定执行进度时，未考虑到工作安排以及工作实际，导致项目实际进度与年初预算差距较大，影响项目绩效完成。</w:t>
      </w:r>
    </w:p>
    <w:p>
      <w:pPr>
        <w:snapToGrid w:val="0"/>
        <w:spacing w:line="500" w:lineRule="atLeas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四、整改措施及结果应用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针对绩效自评中发现问题，办公室绩效自评工作领导小组提出：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一要进一步建立健全财务制度，加强财务管理，确保财务工作依法依规、科学规范、公开透明。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二要进一步加强预算编制管理。通过调研，科学谋划全年工作，合理确定年初项目。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三要合理确定、细化项目绩效目标，确保项目绩效设定科学合理，易于执行。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四要通盘考虑工作实际，确保项目资金到位、支出以及进度按照项目绩效预期进行。</w:t>
      </w:r>
    </w:p>
    <w:p>
      <w:pPr>
        <w:snapToGrid w:val="0"/>
        <w:spacing w:line="50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针对自评结果，进一步完善相关财务制度以及绩效自评相关实施细则，杜绝类似本次自评工作中出现的问题，促进预算设定、执行更加科学，促进我单位财务工作更加规范。</w:t>
      </w:r>
    </w:p>
    <w:p>
      <w:pPr>
        <w:snapToGrid w:val="0"/>
        <w:spacing w:line="500" w:lineRule="atLeast"/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41853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M1MWZmNGE0NzkzZWJiMzVkYzNiNDQ4OWFmYzUifQ=="/>
  </w:docVars>
  <w:rsids>
    <w:rsidRoot w:val="00240B12"/>
    <w:rsid w:val="00005BCF"/>
    <w:rsid w:val="00054403"/>
    <w:rsid w:val="000C01D0"/>
    <w:rsid w:val="0018500C"/>
    <w:rsid w:val="001B3AC5"/>
    <w:rsid w:val="00240B12"/>
    <w:rsid w:val="00244D34"/>
    <w:rsid w:val="00293B90"/>
    <w:rsid w:val="00443C73"/>
    <w:rsid w:val="00450848"/>
    <w:rsid w:val="004D7082"/>
    <w:rsid w:val="005408D3"/>
    <w:rsid w:val="00695CF5"/>
    <w:rsid w:val="008247EC"/>
    <w:rsid w:val="00943387"/>
    <w:rsid w:val="00955150"/>
    <w:rsid w:val="00976D97"/>
    <w:rsid w:val="00AA5EFC"/>
    <w:rsid w:val="00BF7DB0"/>
    <w:rsid w:val="00C464AB"/>
    <w:rsid w:val="00D92608"/>
    <w:rsid w:val="00DB4F49"/>
    <w:rsid w:val="00DD3FBA"/>
    <w:rsid w:val="00E567D9"/>
    <w:rsid w:val="00F05CC4"/>
    <w:rsid w:val="00FA0684"/>
    <w:rsid w:val="00FB153E"/>
    <w:rsid w:val="00FD74B5"/>
    <w:rsid w:val="06287F27"/>
    <w:rsid w:val="06CA2B0B"/>
    <w:rsid w:val="24940B46"/>
    <w:rsid w:val="2AD60086"/>
    <w:rsid w:val="2EE34550"/>
    <w:rsid w:val="41CC51B4"/>
    <w:rsid w:val="5F0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2471</Words>
  <Characters>2642</Characters>
  <Lines>17</Lines>
  <Paragraphs>4</Paragraphs>
  <TotalTime>6</TotalTime>
  <ScaleCrop>false</ScaleCrop>
  <LinksUpToDate>false</LinksUpToDate>
  <CharactersWithSpaces>2642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2021-11-24T06:47:00Z</dcterms:created>
  <dc:creator>xb21cn</dc:creator>
  <cp:lastModifiedBy>Administrator</cp:lastModifiedBy>
  <dcterms:modified xsi:type="dcterms:W3CDTF">2023-12-29T03:30:41Z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07B80EB937F5445EB69DAC5D0585E334</vt:lpwstr>
  </property>
</Properties>
</file>