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030"/>
          <w:tab w:val="center" w:pos="4153"/>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w:t>
      </w:r>
      <w:r>
        <w:rPr>
          <w:rFonts w:hint="eastAsia" w:ascii="方正小标宋简体" w:hAnsi="方正小标宋简体" w:eastAsia="方正小标宋简体" w:cs="方正小标宋简体"/>
          <w:b w:val="0"/>
          <w:bCs w:val="0"/>
          <w:sz w:val="44"/>
          <w:szCs w:val="44"/>
          <w:lang w:val="en-US" w:eastAsia="zh-CN"/>
        </w:rPr>
        <w:t>高阳县</w:t>
      </w:r>
      <w:r>
        <w:rPr>
          <w:rFonts w:hint="eastAsia" w:ascii="方正小标宋简体" w:hAnsi="方正小标宋简体" w:eastAsia="方正小标宋简体" w:cs="方正小标宋简体"/>
          <w:b w:val="0"/>
          <w:bCs w:val="0"/>
          <w:sz w:val="44"/>
          <w:szCs w:val="44"/>
        </w:rPr>
        <w:t>委组织部</w:t>
      </w:r>
    </w:p>
    <w:p>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22</w:t>
      </w:r>
      <w:r>
        <w:rPr>
          <w:rFonts w:hint="eastAsia" w:ascii="方正小标宋简体" w:hAnsi="方正小标宋简体" w:eastAsia="方正小标宋简体" w:cs="方正小标宋简体"/>
          <w:b w:val="0"/>
          <w:bCs w:val="0"/>
          <w:sz w:val="44"/>
          <w:szCs w:val="44"/>
        </w:rPr>
        <w:t>年部门</w:t>
      </w:r>
      <w:r>
        <w:rPr>
          <w:rFonts w:hint="eastAsia" w:ascii="方正小标宋简体" w:hAnsi="方正小标宋简体" w:eastAsia="方正小标宋简体" w:cs="方正小标宋简体"/>
          <w:b w:val="0"/>
          <w:bCs w:val="0"/>
          <w:sz w:val="44"/>
          <w:szCs w:val="44"/>
          <w:lang w:val="en-US" w:eastAsia="zh-CN"/>
        </w:rPr>
        <w:t>整体</w:t>
      </w:r>
      <w:r>
        <w:rPr>
          <w:rFonts w:hint="eastAsia" w:ascii="方正小标宋简体" w:hAnsi="方正小标宋简体" w:eastAsia="方正小标宋简体" w:cs="方正小标宋简体"/>
          <w:b w:val="0"/>
          <w:bCs w:val="0"/>
          <w:sz w:val="44"/>
          <w:szCs w:val="44"/>
        </w:rPr>
        <w:t>绩效自评工作报告</w:t>
      </w:r>
    </w:p>
    <w:p>
      <w:pPr>
        <w:ind w:firstLine="220" w:firstLineChars="50"/>
        <w:jc w:val="center"/>
        <w:rPr>
          <w:sz w:val="44"/>
          <w:szCs w:val="44"/>
        </w:rPr>
      </w:pP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对</w:t>
      </w:r>
      <w:r>
        <w:rPr>
          <w:rFonts w:hint="eastAsia" w:ascii="仿宋_GB2312" w:eastAsia="仿宋_GB2312"/>
          <w:sz w:val="32"/>
          <w:szCs w:val="32"/>
          <w:lang w:val="en-US" w:eastAsia="zh-CN"/>
        </w:rPr>
        <w:t>2022年</w:t>
      </w:r>
      <w:r>
        <w:rPr>
          <w:rFonts w:hint="eastAsia" w:ascii="仿宋_GB2312" w:eastAsia="仿宋_GB2312"/>
          <w:sz w:val="32"/>
          <w:szCs w:val="32"/>
        </w:rPr>
        <w:t>绩效自评工作，部领导高度重视，立即安排部署，要求办公室牵头，相关使用专项资金</w:t>
      </w:r>
      <w:r>
        <w:rPr>
          <w:rFonts w:hint="eastAsia" w:ascii="仿宋_GB2312" w:eastAsia="仿宋_GB2312"/>
          <w:sz w:val="32"/>
          <w:szCs w:val="32"/>
          <w:lang w:val="en-US" w:eastAsia="zh-CN"/>
        </w:rPr>
        <w:t>股</w:t>
      </w:r>
      <w:r>
        <w:rPr>
          <w:rFonts w:hint="eastAsia" w:ascii="仿宋_GB2312" w:eastAsia="仿宋_GB2312"/>
          <w:sz w:val="32"/>
          <w:szCs w:val="32"/>
        </w:rPr>
        <w:t>室配合完成绩效</w:t>
      </w:r>
      <w:r>
        <w:rPr>
          <w:rFonts w:hint="eastAsia" w:ascii="仿宋_GB2312" w:eastAsia="仿宋_GB2312"/>
          <w:sz w:val="32"/>
          <w:szCs w:val="32"/>
          <w:lang w:val="en-US" w:eastAsia="zh-CN"/>
        </w:rPr>
        <w:t>预算</w:t>
      </w:r>
      <w:r>
        <w:rPr>
          <w:rFonts w:hint="eastAsia" w:ascii="仿宋_GB2312" w:eastAsia="仿宋_GB2312"/>
          <w:sz w:val="32"/>
          <w:szCs w:val="32"/>
        </w:rPr>
        <w:t>自评工作，现将工作开展情况汇报如下：</w:t>
      </w:r>
    </w:p>
    <w:p>
      <w:pPr>
        <w:ind w:firstLine="640" w:firstLineChars="200"/>
        <w:rPr>
          <w:rFonts w:ascii="黑体" w:eastAsia="黑体"/>
          <w:sz w:val="32"/>
          <w:szCs w:val="32"/>
        </w:rPr>
      </w:pPr>
      <w:r>
        <w:rPr>
          <w:rFonts w:hint="eastAsia" w:ascii="黑体" w:eastAsia="黑体"/>
          <w:sz w:val="32"/>
          <w:szCs w:val="32"/>
        </w:rPr>
        <w:t>一、绩效自评工作组织开展情况</w:t>
      </w:r>
    </w:p>
    <w:p>
      <w:pPr>
        <w:ind w:firstLine="640" w:firstLineChars="200"/>
        <w:rPr>
          <w:rFonts w:hint="eastAsia" w:ascii="仿宋_GB2312" w:eastAsia="仿宋_GB2312"/>
          <w:sz w:val="32"/>
          <w:szCs w:val="32"/>
        </w:rPr>
      </w:pPr>
      <w:r>
        <w:rPr>
          <w:rFonts w:hint="eastAsia" w:ascii="仿宋_GB2312" w:eastAsia="仿宋_GB2312"/>
          <w:sz w:val="32"/>
          <w:szCs w:val="32"/>
        </w:rPr>
        <w:t>按照通知要求，我部组织成立了以部领导为组长，办公室牵头的绩效评价小组，要求绩效评价小组成员，认真学习文件要求，领会文件精神。采取座谈等方式听取情况，收集整理专项资金支出相关资料。全面收集、系统整理各预算项目绩效完成信息，确认各项绩效指标实际完成值和实现程度。对20</w:t>
      </w:r>
      <w:r>
        <w:rPr>
          <w:rFonts w:hint="eastAsia" w:ascii="仿宋_GB2312" w:eastAsia="仿宋_GB2312"/>
          <w:sz w:val="32"/>
          <w:szCs w:val="32"/>
          <w:lang w:val="en-US" w:eastAsia="zh-CN"/>
        </w:rPr>
        <w:t>22</w:t>
      </w:r>
      <w:r>
        <w:rPr>
          <w:rFonts w:hint="eastAsia" w:ascii="仿宋_GB2312" w:eastAsia="仿宋_GB2312"/>
          <w:sz w:val="32"/>
          <w:szCs w:val="32"/>
        </w:rPr>
        <w:t>年我部所有项目支出资金进行了目标完成情况的分析。将自评结果作为20</w:t>
      </w:r>
      <w:r>
        <w:rPr>
          <w:rFonts w:hint="eastAsia" w:ascii="仿宋_GB2312" w:eastAsia="仿宋_GB2312"/>
          <w:sz w:val="32"/>
          <w:szCs w:val="32"/>
          <w:lang w:val="en-US" w:eastAsia="zh-CN"/>
        </w:rPr>
        <w:t>23</w:t>
      </w:r>
      <w:r>
        <w:rPr>
          <w:rFonts w:hint="eastAsia" w:ascii="仿宋_GB2312" w:eastAsia="仿宋_GB2312"/>
          <w:sz w:val="32"/>
          <w:szCs w:val="32"/>
        </w:rPr>
        <w:t>年资金使用的基础，进一步提高部机关资金使用规范和效率。</w:t>
      </w:r>
    </w:p>
    <w:p>
      <w:pPr>
        <w:ind w:firstLine="640" w:firstLineChars="200"/>
        <w:rPr>
          <w:rFonts w:ascii="黑体" w:eastAsia="黑体"/>
          <w:sz w:val="32"/>
          <w:szCs w:val="32"/>
        </w:rPr>
      </w:pPr>
      <w:r>
        <w:rPr>
          <w:rFonts w:hint="eastAsia" w:ascii="黑体" w:eastAsia="黑体"/>
          <w:sz w:val="32"/>
          <w:szCs w:val="32"/>
        </w:rPr>
        <w:t>二、绩效目标实现情况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2022年，高阳县委组织部认真践行新时代党的组织工作路线，在市委组织部正确指导下，选好干部、配优班子，抓实基层、打牢基础，建立机制、集聚人才，为高质量发展提供坚强的组织保障。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一</w:t>
      </w:r>
      <w:r>
        <w:rPr>
          <w:rFonts w:hint="eastAsia" w:ascii="黑体" w:hAnsi="黑体" w:eastAsia="黑体" w:cs="黑体"/>
          <w:color w:val="auto"/>
          <w:sz w:val="32"/>
          <w:szCs w:val="32"/>
          <w:u w:val="none"/>
          <w:lang w:eastAsia="zh-CN"/>
        </w:rPr>
        <w:t>）科学选配从严管理，努力打造推动科学发展的干部队伍。</w:t>
      </w:r>
      <w:r>
        <w:rPr>
          <w:rFonts w:hint="eastAsia" w:ascii="仿宋_GB2312" w:hAnsi="仿宋_GB2312" w:eastAsia="仿宋_GB2312" w:cs="仿宋_GB2312"/>
          <w:b/>
          <w:bCs/>
          <w:color w:val="auto"/>
          <w:sz w:val="32"/>
          <w:szCs w:val="32"/>
          <w:u w:val="none"/>
          <w:lang w:eastAsia="zh-CN"/>
        </w:rPr>
        <w:t>一是推行一线工作法，优化干部调配。</w:t>
      </w:r>
      <w:r>
        <w:rPr>
          <w:rFonts w:hint="eastAsia" w:ascii="仿宋_GB2312" w:hAnsi="仿宋_GB2312" w:eastAsia="仿宋_GB2312" w:cs="仿宋_GB2312"/>
          <w:color w:val="auto"/>
          <w:sz w:val="32"/>
          <w:szCs w:val="32"/>
          <w:u w:val="none"/>
          <w:lang w:eastAsia="zh-CN"/>
        </w:rPr>
        <w:t>建立一线锻炼、一线推优、一线考察、一线使用的干部培养选拔机制，加强干部交流选配，围绕县直调整、政法交流、国有企业建设等方面共调整干部10批86人次，科学配备了科级领导班子，激发了领导班子模范带头作用。</w:t>
      </w:r>
      <w:r>
        <w:rPr>
          <w:rFonts w:hint="eastAsia" w:ascii="仿宋_GB2312" w:hAnsi="仿宋_GB2312" w:eastAsia="仿宋_GB2312" w:cs="仿宋_GB2312"/>
          <w:b/>
          <w:bCs/>
          <w:color w:val="auto"/>
          <w:sz w:val="32"/>
          <w:szCs w:val="32"/>
          <w:u w:val="none"/>
          <w:lang w:eastAsia="zh-CN"/>
        </w:rPr>
        <w:t>二是创新出台“五项制度”，推进股级及以下干部监督管理。</w:t>
      </w:r>
      <w:r>
        <w:rPr>
          <w:rFonts w:hint="eastAsia" w:ascii="仿宋_GB2312" w:hAnsi="仿宋_GB2312" w:eastAsia="仿宋_GB2312" w:cs="仿宋_GB2312"/>
          <w:color w:val="auto"/>
          <w:sz w:val="32"/>
          <w:szCs w:val="32"/>
          <w:u w:val="none"/>
          <w:lang w:eastAsia="zh-CN"/>
        </w:rPr>
        <w:t>创新起草了《关于建立股级及以下干部定岗定责制度的实施意见（试行）》《关于激励干部担当作为建立基层干部千分制考核制度的实施意见（试行）》《关于股级及以下干部交流转任制度的实施意见（试行）》《关于推进股级干部能上能下管理制度的实施意见（试行）》《关于加强股级干部选拔任用进一步落实股级干部预审备案制度的实施意见（试行）》，“五项制度”相互衔接配套，初步形成了权责清晰、考核量化、激发活力、能上能下的股级干部选拔任用和监督管理制度体系。</w:t>
      </w:r>
      <w:r>
        <w:rPr>
          <w:rFonts w:hint="eastAsia" w:ascii="仿宋_GB2312" w:hAnsi="仿宋_GB2312" w:eastAsia="仿宋_GB2312" w:cs="仿宋_GB2312"/>
          <w:b/>
          <w:bCs/>
          <w:color w:val="auto"/>
          <w:sz w:val="32"/>
          <w:szCs w:val="32"/>
          <w:u w:val="none"/>
          <w:lang w:eastAsia="zh-CN"/>
        </w:rPr>
        <w:t>三是探索实施容错事项“事前备案+全过程跟踪”机制，为实干者撑腰。</w:t>
      </w:r>
      <w:r>
        <w:rPr>
          <w:rFonts w:hint="eastAsia" w:ascii="仿宋_GB2312" w:hAnsi="仿宋_GB2312" w:eastAsia="仿宋_GB2312" w:cs="仿宋_GB2312"/>
          <w:color w:val="auto"/>
          <w:sz w:val="32"/>
          <w:szCs w:val="32"/>
          <w:u w:val="none"/>
          <w:lang w:eastAsia="zh-CN"/>
        </w:rPr>
        <w:t>出台《建立容错纠错机制激励干部担当作为的实施办法（试行）》《建立容错纠错机制激励干部担当作为的实施细则》，明确规定了容错具备的5个条件、10项容错和4项不予容错具体情形及容错实施程序。印发《关于激励干部担当作为实行容错工作事项备案制的通知》，通过容错备案管理、提前干预，最大限度减小单位和干部个人犯错几率，把对单位和干部个人负面影响降到最小。县纪委监委、县委组织部及时跟踪了解掌握情况，对发生失误、过失或出现问题偏差，符合规定的及时启动容错机制。截至目前，全县共16个单位累计上报容错备案申请事项48项。</w:t>
      </w:r>
      <w:r>
        <w:rPr>
          <w:rFonts w:hint="eastAsia" w:ascii="仿宋_GB2312" w:hAnsi="仿宋_GB2312" w:eastAsia="仿宋_GB2312" w:cs="仿宋_GB2312"/>
          <w:b/>
          <w:bCs/>
          <w:color w:val="auto"/>
          <w:sz w:val="32"/>
          <w:szCs w:val="32"/>
          <w:u w:val="none"/>
          <w:lang w:val="en-US" w:eastAsia="zh-CN"/>
        </w:rPr>
        <w:t>四是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强化干部考核，提升干部队伍素质。</w:t>
      </w:r>
      <w:r>
        <w:rPr>
          <w:rFonts w:hint="eastAsia" w:ascii="仿宋_GB2312" w:hAnsi="仿宋_GB2312" w:eastAsia="仿宋_GB2312" w:cs="仿宋_GB2312"/>
          <w:color w:val="auto"/>
          <w:sz w:val="32"/>
          <w:szCs w:val="32"/>
          <w:u w:val="none"/>
          <w:lang w:eastAsia="zh-CN"/>
        </w:rPr>
        <w:t>采取线上线下相结合的方式，举办了市管干部十九届六中全会精</w:t>
      </w:r>
      <w:bookmarkStart w:id="0" w:name="_GoBack"/>
      <w:bookmarkEnd w:id="0"/>
      <w:r>
        <w:rPr>
          <w:rFonts w:hint="eastAsia" w:ascii="仿宋_GB2312" w:hAnsi="仿宋_GB2312" w:eastAsia="仿宋_GB2312" w:cs="仿宋_GB2312"/>
          <w:color w:val="auto"/>
          <w:sz w:val="32"/>
          <w:szCs w:val="32"/>
          <w:u w:val="none"/>
          <w:lang w:eastAsia="zh-CN"/>
        </w:rPr>
        <w:t>神专题培训班、新时代基层干部专题培训班，共计94名干部参训，全面提升了我县领导干部的党性修养和综合素质。充分发挥干部网络学院作用，组织开设了6期专题网班，1037人次在线学习，全县累计学时99365.2课时。牢牢地抓住了“基层干部”这培训主体开展线上专题培训4期，举办线下培训班16期，累计培训3556人次。</w:t>
      </w:r>
      <w:r>
        <w:rPr>
          <w:rFonts w:hint="eastAsia" w:ascii="仿宋_GB2312" w:hAnsi="仿宋_GB2312" w:eastAsia="仿宋_GB2312" w:cs="仿宋_GB2312"/>
          <w:b/>
          <w:bCs/>
          <w:color w:val="auto"/>
          <w:sz w:val="32"/>
          <w:szCs w:val="32"/>
          <w:u w:val="none"/>
          <w:lang w:val="en-US" w:eastAsia="zh-CN"/>
        </w:rPr>
        <w:t>五</w:t>
      </w:r>
      <w:r>
        <w:rPr>
          <w:rFonts w:hint="eastAsia" w:ascii="仿宋_GB2312" w:hAnsi="仿宋_GB2312" w:eastAsia="仿宋_GB2312" w:cs="仿宋_GB2312"/>
          <w:b/>
          <w:bCs/>
          <w:color w:val="auto"/>
          <w:sz w:val="32"/>
          <w:szCs w:val="32"/>
          <w:u w:val="none"/>
          <w:lang w:eastAsia="zh-CN"/>
        </w:rPr>
        <w:t>是充分发挥考核作用，推动各项工作任务落地落实。</w:t>
      </w:r>
      <w:r>
        <w:rPr>
          <w:rFonts w:hint="eastAsia" w:ascii="仿宋_GB2312" w:hAnsi="仿宋_GB2312" w:eastAsia="仿宋_GB2312" w:cs="仿宋_GB2312"/>
          <w:color w:val="auto"/>
          <w:sz w:val="32"/>
          <w:szCs w:val="32"/>
          <w:u w:val="none"/>
          <w:lang w:eastAsia="zh-CN"/>
        </w:rPr>
        <w:t>进一步修订考核办法，完善了考核指标体系，不断提升可操作性和公正性。制定出台了《绩效目标考核调度协调工作机制》和指标任务“四明确”工作清单，细化了目标任务，强化了沟通协调，确保我县各项工作争优进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lang w:eastAsia="zh-CN"/>
        </w:rPr>
        <w:t>）统筹推进固本强基，夯实落实科学发展的基层战斗堡垒。</w:t>
      </w:r>
      <w:r>
        <w:rPr>
          <w:rFonts w:hint="eastAsia" w:ascii="仿宋_GB2312" w:hAnsi="仿宋_GB2312" w:eastAsia="仿宋_GB2312" w:cs="仿宋_GB2312"/>
          <w:b/>
          <w:bCs/>
          <w:color w:val="auto"/>
          <w:sz w:val="32"/>
          <w:szCs w:val="32"/>
          <w:u w:val="none"/>
          <w:lang w:eastAsia="zh-CN"/>
        </w:rPr>
        <w:t>一是创新实施“四项机制”，提升基层治理水平。</w:t>
      </w:r>
      <w:r>
        <w:rPr>
          <w:rFonts w:hint="eastAsia" w:ascii="仿宋_GB2312" w:hAnsi="仿宋_GB2312" w:eastAsia="仿宋_GB2312" w:cs="仿宋_GB2312"/>
          <w:color w:val="auto"/>
          <w:sz w:val="32"/>
          <w:szCs w:val="32"/>
          <w:u w:val="none"/>
          <w:lang w:eastAsia="zh-CN"/>
        </w:rPr>
        <w:t>今年6月高阳县被省委组织部确定为党建引领乡村治理工作试点，全市仅此一家。一是建立村“两委”班子及成员千分制考核制度。今年上半年，共评出优秀班子27个，优秀“两委”干部156名，落实奖惩161人，涉及金额8.53万元。通过千分制考核，村干部干事创业的热情得到进一步激发，班子的凝聚力战斗力得到明显提升。二是建立党员积分管理制度。将全县农村（社区）党员划分六大类别，确定了3大类54小项工作任务，根据履职情况加分减分，对积分排名做到季度公示、年终汇总。三是建立网格化管理制度。农村以30—50户为标准划分一个网格单元，社区以楼栋划分网格单元，全县共划分网格单元2867个，设置网格长866人，网格员3098人。在近期安全稳定工作中，全体网格员主动深入到包联群众，排查解决信访矛盾隐患135起，赴市及以上信访率下降79%，维护了村情稳定。四是建立村（居）民积分管理制度。实施村（居）民积分制管理，各村开设“积分超市”，引导村民通过自身积分兑换物质奖励、精神鼓励，越来越多的村民由“旁观者”转变为“参与者”，全县8000余户村民通过义务清扫街道、参加志愿活动、主动出让宅基地建设街景游园等行动获得积分，有力促进了村风民风的转变。</w:t>
      </w:r>
      <w:r>
        <w:rPr>
          <w:rFonts w:hint="eastAsia" w:ascii="仿宋_GB2312" w:hAnsi="仿宋_GB2312" w:eastAsia="仿宋_GB2312" w:cs="仿宋_GB2312"/>
          <w:b/>
          <w:bCs/>
          <w:color w:val="auto"/>
          <w:sz w:val="32"/>
          <w:szCs w:val="32"/>
          <w:u w:val="none"/>
          <w:lang w:eastAsia="zh-CN"/>
        </w:rPr>
        <w:t>二是发展壮大村级集体经济，夯实乡村振兴物质基础。</w:t>
      </w:r>
      <w:r>
        <w:rPr>
          <w:rFonts w:hint="eastAsia" w:ascii="仿宋_GB2312" w:hAnsi="仿宋_GB2312" w:eastAsia="仿宋_GB2312" w:cs="仿宋_GB2312"/>
          <w:color w:val="auto"/>
          <w:sz w:val="32"/>
          <w:szCs w:val="32"/>
          <w:u w:val="none"/>
          <w:lang w:eastAsia="zh-CN"/>
        </w:rPr>
        <w:t>按照全市要求深化开展清理规范农村集体经济合同工作，推动集体资产资源保值增值，全县共摸排各类合同4290份，认定为不规范的2977份，已清理规范2863份，53份合同正在履行法律程序，61份复杂合同暂时封存待处，共有1284份合同实现增收，为集体增收3072.62万元，村均增收18.74万元。我县在8月27日的全市清理规范农村集体经济合同工作调度会上作了典型发言，通过清理规范工作，彻底解决了一批群众关注的难点问题，充分盘活了一批矛盾突出的资源资产，建立形成了一套成熟可行的制度成果。在此基础上做好土地流转，引导农户规范流转承包地经营权，蒲口镇恒道村、陶口店村实现整村的土地流转，陶口店村以每亩1718元的标准进行发包，促进农民、集体“两个增收”。坚持因地制宜，鼓励有资源优势、区位优势的村发展物业经济、提供生产经营服务，实现集体经济收入可持续性增长。目前，全县164个村年集体收入已全部达到10万元以上，50—100万元的村22个，占13.41%，100万元以上的村18个，占10.98%。</w:t>
      </w:r>
      <w:r>
        <w:rPr>
          <w:rFonts w:hint="eastAsia" w:ascii="仿宋_GB2312" w:hAnsi="仿宋_GB2312" w:eastAsia="仿宋_GB2312" w:cs="仿宋_GB2312"/>
          <w:b/>
          <w:bCs/>
          <w:color w:val="auto"/>
          <w:sz w:val="32"/>
          <w:szCs w:val="32"/>
          <w:u w:val="none"/>
          <w:lang w:eastAsia="zh-CN"/>
        </w:rPr>
        <w:t>三是统筹各领域党建，实现全面进步。</w:t>
      </w:r>
      <w:r>
        <w:rPr>
          <w:rFonts w:hint="eastAsia" w:ascii="仿宋_GB2312" w:hAnsi="仿宋_GB2312" w:eastAsia="仿宋_GB2312" w:cs="仿宋_GB2312"/>
          <w:color w:val="auto"/>
          <w:sz w:val="32"/>
          <w:szCs w:val="32"/>
          <w:u w:val="none"/>
          <w:lang w:eastAsia="zh-CN"/>
        </w:rPr>
        <w:t>以“再造新保定、奋进党旗红”活动为抓手，以农村（社区）为重点，统筹抓好各领域党建。在农村党建中，加强村干部管理，聚焦省委组织部反馈的现任村干部问题，逐人进行了资格认定，共将6名人员清除出村干部队伍。在“两新”组织党建中，持续推进“两个覆盖”，党组织覆盖率和党的工作覆盖率均达到100%，星火创建示范点数量稳居全市前列，依托纺织商贸城加强市场党建做法被人民网刊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lang w:eastAsia="zh-CN"/>
        </w:rPr>
        <w:t>）引育结合、优化服务，激活加速科学发展的动力引擎。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一是扎实推进县级人才项目建设。</w:t>
      </w:r>
      <w:r>
        <w:rPr>
          <w:rFonts w:hint="eastAsia" w:ascii="仿宋_GB2312" w:hAnsi="仿宋_GB2312" w:eastAsia="仿宋_GB2312" w:cs="仿宋_GB2312"/>
          <w:color w:val="auto"/>
          <w:sz w:val="32"/>
          <w:szCs w:val="32"/>
          <w:u w:val="none"/>
          <w:lang w:eastAsia="zh-CN"/>
        </w:rPr>
        <w:t>委托第三方机构组建了专家组，紧密对接省市重点人才项目，聚焦“1+2+4”产业需求，对申报项目进行综合评定，为着力促进人才与发展深度融合，打造4个重点特色人才项目。</w:t>
      </w:r>
      <w:r>
        <w:rPr>
          <w:rFonts w:hint="eastAsia" w:ascii="仿宋_GB2312" w:hAnsi="仿宋_GB2312" w:eastAsia="仿宋_GB2312" w:cs="仿宋_GB2312"/>
          <w:b/>
          <w:bCs/>
          <w:color w:val="auto"/>
          <w:sz w:val="32"/>
          <w:szCs w:val="32"/>
          <w:u w:val="none"/>
          <w:lang w:eastAsia="zh-CN"/>
        </w:rPr>
        <w:t>二是积极推进人才公寓建设。</w:t>
      </w:r>
      <w:r>
        <w:rPr>
          <w:rFonts w:hint="eastAsia" w:ascii="仿宋_GB2312" w:hAnsi="仿宋_GB2312" w:eastAsia="仿宋_GB2312" w:cs="仿宋_GB2312"/>
          <w:color w:val="auto"/>
          <w:sz w:val="32"/>
          <w:szCs w:val="32"/>
          <w:u w:val="none"/>
          <w:lang w:eastAsia="zh-CN"/>
        </w:rPr>
        <w:t>我县结合实际需求情况，在住房安居工程二期项目中指定30套房源作为人才公寓，现在正在建设中。</w:t>
      </w:r>
      <w:r>
        <w:rPr>
          <w:rFonts w:hint="eastAsia" w:ascii="仿宋_GB2312" w:hAnsi="仿宋_GB2312" w:eastAsia="仿宋_GB2312" w:cs="仿宋_GB2312"/>
          <w:b/>
          <w:bCs/>
          <w:color w:val="auto"/>
          <w:sz w:val="32"/>
          <w:szCs w:val="32"/>
          <w:u w:val="none"/>
          <w:lang w:eastAsia="zh-CN"/>
        </w:rPr>
        <w:t>三是开展“高阳英才”选拔管理工作。</w:t>
      </w:r>
      <w:r>
        <w:rPr>
          <w:rFonts w:hint="eastAsia" w:ascii="仿宋_GB2312" w:hAnsi="仿宋_GB2312" w:eastAsia="仿宋_GB2312" w:cs="仿宋_GB2312"/>
          <w:color w:val="auto"/>
          <w:sz w:val="32"/>
          <w:szCs w:val="32"/>
          <w:u w:val="none"/>
          <w:lang w:eastAsia="zh-CN"/>
        </w:rPr>
        <w:t>印发《第二批高阳英才选拔管理实施方案》，通过组织推报、个人自荐等方式，在全县范围内选拔了20名在我县各行业各领域表现突出的优秀人才，被评选为“高阳英才”，树立了重创新、凭实绩、论贡献的人才评价导向。</w:t>
      </w:r>
      <w:r>
        <w:rPr>
          <w:rFonts w:hint="eastAsia" w:ascii="仿宋_GB2312" w:hAnsi="仿宋_GB2312" w:eastAsia="仿宋_GB2312" w:cs="仿宋_GB2312"/>
          <w:b/>
          <w:bCs/>
          <w:color w:val="auto"/>
          <w:sz w:val="32"/>
          <w:szCs w:val="32"/>
          <w:u w:val="none"/>
          <w:lang w:eastAsia="zh-CN"/>
        </w:rPr>
        <w:t>四是组织人才服务宣传系列活动。</w:t>
      </w:r>
      <w:r>
        <w:rPr>
          <w:rFonts w:hint="eastAsia" w:ascii="仿宋_GB2312" w:hAnsi="仿宋_GB2312" w:eastAsia="仿宋_GB2312" w:cs="仿宋_GB2312"/>
          <w:color w:val="auto"/>
          <w:sz w:val="32"/>
          <w:szCs w:val="32"/>
          <w:u w:val="none"/>
          <w:lang w:eastAsia="zh-CN"/>
        </w:rPr>
        <w:t>全力构筑人才聚集高地，举行2022年春风行动专场招聘会；举办春风行动“直播带岗”网络招聘活动；通过自媒体对高阳县文化人才进行宣传，开展五一劳模工匠宣传月活动；开展“我与企业共成长、创新发展大家谈”主题走访调研活动。</w:t>
      </w:r>
      <w:r>
        <w:rPr>
          <w:rFonts w:hint="eastAsia" w:ascii="仿宋_GB2312" w:hAnsi="仿宋_GB2312" w:eastAsia="仿宋_GB2312" w:cs="仿宋_GB2312"/>
          <w:b/>
          <w:bCs/>
          <w:color w:val="auto"/>
          <w:sz w:val="32"/>
          <w:szCs w:val="32"/>
          <w:u w:val="none"/>
          <w:lang w:eastAsia="zh-CN"/>
        </w:rPr>
        <w:t>五是探索建立“一站式”人才服务平台。</w:t>
      </w:r>
      <w:r>
        <w:rPr>
          <w:rFonts w:hint="eastAsia" w:ascii="仿宋_GB2312" w:hAnsi="仿宋_GB2312" w:eastAsia="仿宋_GB2312" w:cs="仿宋_GB2312"/>
          <w:color w:val="auto"/>
          <w:sz w:val="32"/>
          <w:szCs w:val="32"/>
          <w:u w:val="none"/>
          <w:lang w:eastAsia="zh-CN"/>
        </w:rPr>
        <w:t>通过信息数据共享、互联互通，优化审批环节，实现一站受理、同一站办结，打造“一站式”服务平台。召开了人才工作站建设筹备会，在原人才交流服务中心的基础上设立服务专家人才热线和电子邮箱，做好专家人才日常性联系及重要意见建议督办反馈。人才工作站正式运行后，依托利用人社局一站式服务平台系统，简化人才享受政策的办理流程，发挥人才政策效能；方便各配合单位业务协同办公、并联审批。</w:t>
      </w:r>
    </w:p>
    <w:p>
      <w:pPr>
        <w:ind w:firstLine="640" w:firstLineChars="200"/>
        <w:rPr>
          <w:rFonts w:ascii="黑体" w:eastAsia="黑体"/>
          <w:b w:val="0"/>
          <w:bCs/>
          <w:sz w:val="32"/>
          <w:szCs w:val="32"/>
        </w:rPr>
      </w:pPr>
      <w:r>
        <w:rPr>
          <w:rFonts w:hint="eastAsia" w:ascii="黑体" w:eastAsia="黑体"/>
          <w:b w:val="0"/>
          <w:bCs/>
          <w:sz w:val="32"/>
          <w:szCs w:val="32"/>
        </w:rPr>
        <w:t>三、绩效目标设定质量情况</w:t>
      </w:r>
    </w:p>
    <w:p>
      <w:pPr>
        <w:ind w:firstLine="563" w:firstLineChars="176"/>
        <w:rPr>
          <w:rFonts w:ascii="仿宋_GB2312" w:eastAsia="仿宋_GB2312"/>
          <w:sz w:val="32"/>
          <w:szCs w:val="32"/>
        </w:rPr>
      </w:pP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22</w:t>
      </w:r>
      <w:r>
        <w:rPr>
          <w:rFonts w:hint="eastAsia" w:ascii="仿宋_GB2312" w:hAnsi="Calibri" w:eastAsia="仿宋_GB2312" w:cs="Times New Roman"/>
          <w:sz w:val="32"/>
          <w:szCs w:val="32"/>
        </w:rPr>
        <w:t>年，通过绩效自评我部绩效目标设置较为合理，对专项资金较为系统的进行绩效控制，使其发挥较好的绩效成效，绩效标准清晰、易于评价。</w:t>
      </w:r>
    </w:p>
    <w:p>
      <w:pPr>
        <w:ind w:firstLine="563" w:firstLineChars="176"/>
        <w:rPr>
          <w:rFonts w:ascii="黑体" w:eastAsia="黑体"/>
          <w:sz w:val="32"/>
          <w:szCs w:val="32"/>
        </w:rPr>
      </w:pPr>
      <w:r>
        <w:rPr>
          <w:rFonts w:hint="eastAsia" w:ascii="黑体" w:eastAsia="黑体"/>
          <w:sz w:val="32"/>
          <w:szCs w:val="32"/>
        </w:rPr>
        <w:t>四、整改措施及结果应用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宋体" w:eastAsia="仿宋_GB2312" w:cs="宋体"/>
          <w:sz w:val="32"/>
          <w:szCs w:val="32"/>
        </w:rPr>
        <w:t>通过对20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年我部部门绩效自评发现了部分问题：</w:t>
      </w:r>
      <w:r>
        <w:rPr>
          <w:rFonts w:hint="eastAsia" w:ascii="仿宋_GB2312" w:hAnsi="仿宋" w:eastAsia="仿宋_GB2312"/>
          <w:color w:val="000000" w:themeColor="text1"/>
          <w:sz w:val="32"/>
          <w:szCs w:val="32"/>
          <w14:textFill>
            <w14:solidFill>
              <w14:schemeClr w14:val="tx1"/>
            </w14:solidFill>
          </w14:textFill>
        </w:rPr>
        <w:t>绩效目标需要进一步细化、深化，需进一步提高资金使用效率。</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下一步需不断加强业务知识的学习，提高工作能力和水平。积极在部机关开展绩效目标自评自纠工作，进一步提高部机关专项资金使用处室对绩效目标的重视。将绩效目标的控制贯彻资金使用的整个过程，切实完善绩效目标体系建设。</w:t>
      </w:r>
    </w:p>
    <w:p>
      <w:pPr>
        <w:rPr>
          <w:rFonts w:ascii="仿宋_GB2312" w:eastAsia="仿宋_GB2312"/>
          <w:sz w:val="32"/>
          <w:szCs w:val="32"/>
        </w:rPr>
      </w:pPr>
    </w:p>
    <w:p>
      <w:pPr>
        <w:pStyle w:val="2"/>
        <w:rPr>
          <w:rFonts w:ascii="仿宋_GB2312" w:eastAsia="仿宋_GB2312"/>
          <w:sz w:val="32"/>
          <w:szCs w:val="32"/>
        </w:rPr>
      </w:pPr>
    </w:p>
    <w:p>
      <w:pPr>
        <w:jc w:val="both"/>
        <w:rPr>
          <w:rFonts w:ascii="仿宋_GB2312" w:eastAsia="仿宋_GB2312"/>
          <w:sz w:val="32"/>
          <w:szCs w:val="32"/>
        </w:rPr>
      </w:pPr>
    </w:p>
    <w:p>
      <w:pPr>
        <w:ind w:firstLine="160" w:firstLineChars="50"/>
        <w:jc w:val="cente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2A7D2B13"/>
    <w:rsid w:val="1221760A"/>
    <w:rsid w:val="1FA75F7D"/>
    <w:rsid w:val="25044A95"/>
    <w:rsid w:val="2A7D2B13"/>
    <w:rsid w:val="2E47147A"/>
    <w:rsid w:val="42D655F5"/>
    <w:rsid w:val="44B435FA"/>
    <w:rsid w:val="4CA3414B"/>
    <w:rsid w:val="4D141C6F"/>
    <w:rsid w:val="534F11BD"/>
    <w:rsid w:val="5CC92D70"/>
    <w:rsid w:val="5D825DED"/>
    <w:rsid w:val="6A4C5E48"/>
    <w:rsid w:val="766E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3371</Words>
  <Characters>3501</Characters>
  <Lines>0</Lines>
  <Paragraphs>0</Paragraphs>
  <TotalTime>94</TotalTime>
  <ScaleCrop>false</ScaleCrop>
  <LinksUpToDate>false</LinksUpToDate>
  <CharactersWithSpaces>3520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2022-03-21T01:25:00Z</dcterms:created>
  <dc:creator>LENOVO</dc:creator>
  <cp:lastModifiedBy>Administrator</cp:lastModifiedBy>
  <dcterms:modified xsi:type="dcterms:W3CDTF">2023-12-29T03:27:52Z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BCD85C7C417048668DA8D04797524366</vt:lpwstr>
  </property>
</Properties>
</file>