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default" w:eastAsia="黑体"/>
          <w:lang w:val="en-US" w:eastAsia="zh-CN"/>
        </w:rPr>
      </w:pPr>
      <w:bookmarkStart w:id="18" w:name="_GoBack"/>
      <w:bookmarkEnd w:id="18"/>
      <w:r>
        <w:rPr>
          <w:rFonts w:hint="eastAsia" w:ascii="黑体" w:eastAsia="黑体" w:cs="黑体"/>
          <w:b/>
          <w:color w:val="000000"/>
          <w:sz w:val="44"/>
          <w:lang w:eastAsia="zh-CN"/>
        </w:rPr>
        <w:t>高阳县司法局单位</w:t>
      </w:r>
      <w:r>
        <w:rPr>
          <w:rFonts w:hint="eastAsia" w:ascii="黑体" w:eastAsia="黑体" w:cs="黑体"/>
          <w:b/>
          <w:color w:val="000000"/>
          <w:sz w:val="44"/>
          <w:lang w:val="en-US" w:eastAsia="zh-CN"/>
        </w:rPr>
        <w:t>2022年单位预算信息公开</w:t>
      </w:r>
    </w:p>
    <w:p>
      <w:pPr>
        <w:spacing w:before="0" w:after="0" w:line="240" w:lineRule="auto"/>
        <w:ind w:firstLine="0"/>
        <w:jc w:val="center"/>
        <w:outlineLvl w:val="9"/>
      </w:pPr>
      <w:r>
        <w:rPr>
          <w:rFonts w:asci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69</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69</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69</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70</w:t>
      </w:r>
      <w:r>
        <w:fldChar w:fldCharType="end"/>
      </w:r>
      <w:r>
        <w:fldChar w:fldCharType="end"/>
      </w:r>
    </w:p>
    <w:p>
      <w:r>
        <w:fldChar w:fldCharType="end"/>
      </w:r>
    </w:p>
    <w:p>
      <w:pPr>
        <w:pStyle w:val="33"/>
        <w:tabs>
          <w:tab w:val="right" w:leader="dot" w:pos="14562"/>
        </w:tabs>
        <w:ind w:left="0" w:leftChars="0" w:firstLine="0" w:firstLineChars="0"/>
        <w:rPr>
          <w:rFonts w:hint="eastAsia"/>
          <w:b w:val="0"/>
          <w:lang w:val="en-US" w:eastAsia="zh-CN"/>
        </w:rPr>
      </w:pPr>
    </w:p>
    <w:p>
      <w:pPr>
        <w:pStyle w:val="33"/>
        <w:tabs>
          <w:tab w:val="right" w:leader="dot" w:pos="14562"/>
        </w:tabs>
        <w:ind w:left="0" w:leftChars="0" w:firstLine="0" w:firstLineChars="0"/>
        <w:rPr>
          <w:rFonts w:hint="eastAsia"/>
          <w:b w:val="0"/>
          <w:lang w:val="en-US" w:eastAsia="zh-CN"/>
        </w:rPr>
        <w:sectPr>
          <w:pgSz w:w="16840" w:h="11900" w:orient="landscape"/>
          <w:pgMar w:top="1587" w:right="1134" w:bottom="1361" w:left="1134" w:header="720" w:footer="720" w:gutter="0"/>
          <w:pgNumType w:start="1"/>
          <w:cols w:space="720" w:num="1"/>
          <w:docGrid w:linePitch="326" w:charSpace="0"/>
        </w:sectPr>
      </w:pPr>
    </w:p>
    <w:p>
      <w:pPr>
        <w:spacing w:before="0" w:after="0" w:line="240" w:lineRule="auto"/>
        <w:ind w:firstLine="0"/>
        <w:jc w:val="both"/>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rPr>
          <w:sz w:val="44"/>
          <w:szCs w:val="44"/>
        </w:rPr>
      </w:pPr>
      <w:r>
        <w:rPr>
          <w:sz w:val="44"/>
          <w:szCs w:val="44"/>
        </w:rPr>
        <w:t>高阳县司法局</w:t>
      </w:r>
      <w:r>
        <w:rPr>
          <w:rFonts w:hint="eastAsia"/>
          <w:sz w:val="44"/>
          <w:szCs w:val="44"/>
          <w:lang w:eastAsia="zh-CN"/>
        </w:rPr>
        <w:t>本级收支预算</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315</w:t>
            </w:r>
            <w:r>
              <w:rPr>
                <w:rFonts w:hint="eastAsia"/>
                <w:lang w:val="en-US" w:eastAsia="zh-CN"/>
              </w:rPr>
              <w:t>001</w:t>
            </w:r>
            <w:r>
              <w:t>高阳县司法局</w:t>
            </w:r>
            <w:r>
              <w:rPr>
                <w:rFonts w:hint="eastAsia"/>
                <w:lang w:eastAsia="zh-CN"/>
              </w:rPr>
              <w:t>本级</w:t>
            </w:r>
          </w:p>
        </w:tc>
        <w:tc>
          <w:tcPr>
            <w:tcW w:w="2126" w:type="dxa"/>
            <w:tcBorders>
              <w:top w:val="single" w:color="FFFFFF" w:sz="6" w:space="0"/>
              <w:left w:val="single" w:color="FFFFFF" w:sz="6" w:space="0"/>
              <w:right w:val="single" w:color="FFFFFF" w:sz="6" w:space="0"/>
            </w:tcBorders>
            <w:vAlign w:val="center"/>
          </w:tcPr>
          <w:p>
            <w:pPr>
              <w:pStyle w:val="9"/>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559.06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507.26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五、事业收入</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r>
              <w:t>六、事业单位经营收入</w:t>
            </w: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r>
              <w:t>七、上级补助收入</w:t>
            </w: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r>
              <w:t>八、附属单位上缴收入</w:t>
            </w: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r>
              <w:t>九、其他收入</w:t>
            </w: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559.06</w:t>
            </w:r>
          </w:p>
        </w:tc>
        <w:tc>
          <w:tcPr>
            <w:tcW w:w="4535" w:type="dxa"/>
            <w:vAlign w:val="center"/>
          </w:tcPr>
          <w:p>
            <w:pPr>
              <w:pStyle w:val="15"/>
            </w:pPr>
            <w:r>
              <w:t>本年支出合计</w:t>
            </w:r>
          </w:p>
        </w:tc>
        <w:tc>
          <w:tcPr>
            <w:tcW w:w="2126" w:type="dxa"/>
            <w:vAlign w:val="center"/>
          </w:tcPr>
          <w:p>
            <w:pPr>
              <w:pStyle w:val="16"/>
            </w:pPr>
            <w:r>
              <w:t>559.06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559.06</w:t>
            </w:r>
          </w:p>
        </w:tc>
        <w:tc>
          <w:tcPr>
            <w:tcW w:w="4535" w:type="dxa"/>
            <w:vAlign w:val="center"/>
          </w:tcPr>
          <w:p>
            <w:pPr>
              <w:pStyle w:val="15"/>
            </w:pPr>
            <w:r>
              <w:t>支出总计</w:t>
            </w:r>
          </w:p>
        </w:tc>
        <w:tc>
          <w:tcPr>
            <w:tcW w:w="2126" w:type="dxa"/>
            <w:vAlign w:val="center"/>
          </w:tcPr>
          <w:p>
            <w:pPr>
              <w:pStyle w:val="16"/>
            </w:pPr>
            <w:r>
              <w:t>559.06</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1" w:name="_Toc_2_2_0000000002"/>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559.06</w:t>
            </w:r>
          </w:p>
        </w:tc>
        <w:tc>
          <w:tcPr>
            <w:tcW w:w="1134" w:type="dxa"/>
            <w:vAlign w:val="center"/>
          </w:tcPr>
          <w:p>
            <w:pPr>
              <w:pStyle w:val="16"/>
            </w:pPr>
            <w:r>
              <w:t>559.06</w:t>
            </w:r>
          </w:p>
        </w:tc>
        <w:tc>
          <w:tcPr>
            <w:tcW w:w="1134" w:type="dxa"/>
            <w:vAlign w:val="center"/>
          </w:tcPr>
          <w:p>
            <w:pPr>
              <w:pStyle w:val="16"/>
            </w:pPr>
            <w:r>
              <w:t>559.06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507.26</w:t>
            </w:r>
          </w:p>
        </w:tc>
        <w:tc>
          <w:tcPr>
            <w:tcW w:w="1134" w:type="dxa"/>
            <w:vAlign w:val="center"/>
          </w:tcPr>
          <w:p>
            <w:pPr>
              <w:pStyle w:val="12"/>
            </w:pPr>
            <w:r>
              <w:t>507.26</w:t>
            </w:r>
          </w:p>
        </w:tc>
        <w:tc>
          <w:tcPr>
            <w:tcW w:w="1134" w:type="dxa"/>
            <w:vAlign w:val="center"/>
          </w:tcPr>
          <w:p>
            <w:pPr>
              <w:pStyle w:val="12"/>
            </w:pPr>
            <w:r>
              <w:t>507.26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507.26</w:t>
            </w:r>
          </w:p>
        </w:tc>
        <w:tc>
          <w:tcPr>
            <w:tcW w:w="1134" w:type="dxa"/>
            <w:vAlign w:val="center"/>
          </w:tcPr>
          <w:p>
            <w:pPr>
              <w:pStyle w:val="12"/>
            </w:pPr>
            <w:r>
              <w:t>507.26</w:t>
            </w:r>
          </w:p>
        </w:tc>
        <w:tc>
          <w:tcPr>
            <w:tcW w:w="1134" w:type="dxa"/>
            <w:vAlign w:val="center"/>
          </w:tcPr>
          <w:p>
            <w:pPr>
              <w:pStyle w:val="12"/>
            </w:pPr>
            <w:r>
              <w:t>507.26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2040601</w:t>
            </w:r>
          </w:p>
        </w:tc>
        <w:tc>
          <w:tcPr>
            <w:tcW w:w="1559" w:type="dxa"/>
            <w:vAlign w:val="center"/>
          </w:tcPr>
          <w:p>
            <w:pPr>
              <w:pStyle w:val="13"/>
            </w:pPr>
            <w:r>
              <w:t>行政运行</w:t>
            </w:r>
          </w:p>
        </w:tc>
        <w:tc>
          <w:tcPr>
            <w:tcW w:w="1134" w:type="dxa"/>
            <w:vAlign w:val="center"/>
          </w:tcPr>
          <w:p>
            <w:pPr>
              <w:pStyle w:val="12"/>
            </w:pPr>
            <w:r>
              <w:t>302.60</w:t>
            </w:r>
          </w:p>
        </w:tc>
        <w:tc>
          <w:tcPr>
            <w:tcW w:w="1134" w:type="dxa"/>
            <w:vAlign w:val="center"/>
          </w:tcPr>
          <w:p>
            <w:pPr>
              <w:pStyle w:val="12"/>
            </w:pPr>
            <w:r>
              <w:t>302.60</w:t>
            </w:r>
          </w:p>
        </w:tc>
        <w:tc>
          <w:tcPr>
            <w:tcW w:w="1134" w:type="dxa"/>
            <w:vAlign w:val="center"/>
          </w:tcPr>
          <w:p>
            <w:pPr>
              <w:pStyle w:val="12"/>
            </w:pPr>
            <w:r>
              <w:t>302.60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2040604</w:t>
            </w:r>
          </w:p>
        </w:tc>
        <w:tc>
          <w:tcPr>
            <w:tcW w:w="1559" w:type="dxa"/>
            <w:vAlign w:val="center"/>
          </w:tcPr>
          <w:p>
            <w:pPr>
              <w:pStyle w:val="13"/>
            </w:pPr>
            <w:r>
              <w:t>基层司法业务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2040605</w:t>
            </w:r>
          </w:p>
        </w:tc>
        <w:tc>
          <w:tcPr>
            <w:tcW w:w="1559" w:type="dxa"/>
            <w:vAlign w:val="center"/>
          </w:tcPr>
          <w:p>
            <w:pPr>
              <w:pStyle w:val="13"/>
            </w:pPr>
            <w:r>
              <w:t>普法宣传</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2040607</w:t>
            </w:r>
          </w:p>
        </w:tc>
        <w:tc>
          <w:tcPr>
            <w:tcW w:w="1559" w:type="dxa"/>
            <w:vAlign w:val="center"/>
          </w:tcPr>
          <w:p>
            <w:pPr>
              <w:pStyle w:val="13"/>
            </w:pPr>
            <w:r>
              <w:t>法律援助</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2040610</w:t>
            </w:r>
          </w:p>
        </w:tc>
        <w:tc>
          <w:tcPr>
            <w:tcW w:w="1559" w:type="dxa"/>
            <w:vAlign w:val="center"/>
          </w:tcPr>
          <w:p>
            <w:pPr>
              <w:pStyle w:val="13"/>
            </w:pPr>
            <w:r>
              <w:t>社区矫正</w:t>
            </w:r>
          </w:p>
        </w:tc>
        <w:tc>
          <w:tcPr>
            <w:tcW w:w="1134" w:type="dxa"/>
            <w:vAlign w:val="center"/>
          </w:tcPr>
          <w:p>
            <w:pPr>
              <w:pStyle w:val="12"/>
            </w:pPr>
            <w:r>
              <w:t>26.23</w:t>
            </w:r>
          </w:p>
        </w:tc>
        <w:tc>
          <w:tcPr>
            <w:tcW w:w="1134" w:type="dxa"/>
            <w:vAlign w:val="center"/>
          </w:tcPr>
          <w:p>
            <w:pPr>
              <w:pStyle w:val="12"/>
            </w:pPr>
            <w:r>
              <w:t>26.23</w:t>
            </w:r>
          </w:p>
        </w:tc>
        <w:tc>
          <w:tcPr>
            <w:tcW w:w="1134" w:type="dxa"/>
            <w:vAlign w:val="center"/>
          </w:tcPr>
          <w:p>
            <w:pPr>
              <w:pStyle w:val="12"/>
            </w:pPr>
            <w:r>
              <w:t>26.23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2040699</w:t>
            </w:r>
          </w:p>
        </w:tc>
        <w:tc>
          <w:tcPr>
            <w:tcW w:w="1559" w:type="dxa"/>
            <w:vAlign w:val="center"/>
          </w:tcPr>
          <w:p>
            <w:pPr>
              <w:pStyle w:val="13"/>
            </w:pPr>
            <w:r>
              <w:t>其他司法支出</w:t>
            </w:r>
          </w:p>
        </w:tc>
        <w:tc>
          <w:tcPr>
            <w:tcW w:w="1134" w:type="dxa"/>
            <w:vAlign w:val="center"/>
          </w:tcPr>
          <w:p>
            <w:pPr>
              <w:pStyle w:val="12"/>
            </w:pPr>
            <w:r>
              <w:t>67.43</w:t>
            </w:r>
          </w:p>
        </w:tc>
        <w:tc>
          <w:tcPr>
            <w:tcW w:w="1134" w:type="dxa"/>
            <w:vAlign w:val="center"/>
          </w:tcPr>
          <w:p>
            <w:pPr>
              <w:pStyle w:val="12"/>
            </w:pPr>
            <w:r>
              <w:t>67.43</w:t>
            </w:r>
          </w:p>
        </w:tc>
        <w:tc>
          <w:tcPr>
            <w:tcW w:w="1134" w:type="dxa"/>
            <w:vAlign w:val="center"/>
          </w:tcPr>
          <w:p>
            <w:pPr>
              <w:pStyle w:val="12"/>
            </w:pPr>
            <w:r>
              <w:t>67.43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20.10</w:t>
            </w:r>
          </w:p>
        </w:tc>
        <w:tc>
          <w:tcPr>
            <w:tcW w:w="1134" w:type="dxa"/>
            <w:vAlign w:val="center"/>
          </w:tcPr>
          <w:p>
            <w:pPr>
              <w:pStyle w:val="12"/>
            </w:pPr>
            <w:r>
              <w:t>20.10</w:t>
            </w:r>
          </w:p>
        </w:tc>
        <w:tc>
          <w:tcPr>
            <w:tcW w:w="1134" w:type="dxa"/>
            <w:vAlign w:val="center"/>
          </w:tcPr>
          <w:p>
            <w:pPr>
              <w:pStyle w:val="12"/>
            </w:pPr>
            <w:r>
              <w:t>20.10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r>
              <w:t>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12.40</w:t>
            </w:r>
          </w:p>
        </w:tc>
        <w:tc>
          <w:tcPr>
            <w:tcW w:w="1134" w:type="dxa"/>
            <w:vAlign w:val="center"/>
          </w:tcPr>
          <w:p>
            <w:pPr>
              <w:pStyle w:val="12"/>
            </w:pPr>
            <w:r>
              <w:t>12.40</w:t>
            </w:r>
          </w:p>
        </w:tc>
        <w:tc>
          <w:tcPr>
            <w:tcW w:w="1134" w:type="dxa"/>
            <w:vAlign w:val="center"/>
          </w:tcPr>
          <w:p>
            <w:pPr>
              <w:pStyle w:val="12"/>
            </w:pPr>
            <w:r>
              <w:t>12.40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12.40</w:t>
            </w:r>
          </w:p>
        </w:tc>
        <w:tc>
          <w:tcPr>
            <w:tcW w:w="1134" w:type="dxa"/>
            <w:vAlign w:val="center"/>
          </w:tcPr>
          <w:p>
            <w:pPr>
              <w:pStyle w:val="12"/>
            </w:pPr>
            <w:r>
              <w:t>12.40</w:t>
            </w:r>
          </w:p>
        </w:tc>
        <w:tc>
          <w:tcPr>
            <w:tcW w:w="1134" w:type="dxa"/>
            <w:vAlign w:val="center"/>
          </w:tcPr>
          <w:p>
            <w:pPr>
              <w:pStyle w:val="12"/>
            </w:pPr>
            <w:r>
              <w:t>12.40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12.40</w:t>
            </w:r>
          </w:p>
        </w:tc>
        <w:tc>
          <w:tcPr>
            <w:tcW w:w="1134" w:type="dxa"/>
            <w:vAlign w:val="center"/>
          </w:tcPr>
          <w:p>
            <w:pPr>
              <w:pStyle w:val="12"/>
            </w:pPr>
            <w:r>
              <w:t>12.40</w:t>
            </w:r>
          </w:p>
        </w:tc>
        <w:tc>
          <w:tcPr>
            <w:tcW w:w="1134" w:type="dxa"/>
            <w:vAlign w:val="center"/>
          </w:tcPr>
          <w:p>
            <w:pPr>
              <w:pStyle w:val="12"/>
            </w:pPr>
            <w:r>
              <w:t>12.40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r>
              <w:t>19.30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2" w:name="_Toc_2_2_0000000003"/>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559.06</w:t>
            </w:r>
          </w:p>
        </w:tc>
        <w:tc>
          <w:tcPr>
            <w:tcW w:w="1361" w:type="dxa"/>
            <w:vAlign w:val="center"/>
          </w:tcPr>
          <w:p>
            <w:pPr>
              <w:pStyle w:val="16"/>
            </w:pPr>
            <w:r>
              <w:t>354.40</w:t>
            </w:r>
          </w:p>
        </w:tc>
        <w:tc>
          <w:tcPr>
            <w:tcW w:w="1361" w:type="dxa"/>
            <w:vAlign w:val="center"/>
          </w:tcPr>
          <w:p>
            <w:pPr>
              <w:pStyle w:val="16"/>
            </w:pPr>
            <w:r>
              <w:t>204.66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507.26</w:t>
            </w:r>
          </w:p>
        </w:tc>
        <w:tc>
          <w:tcPr>
            <w:tcW w:w="1361" w:type="dxa"/>
            <w:vAlign w:val="center"/>
          </w:tcPr>
          <w:p>
            <w:pPr>
              <w:pStyle w:val="12"/>
            </w:pPr>
            <w:r>
              <w:t>302.60</w:t>
            </w:r>
          </w:p>
        </w:tc>
        <w:tc>
          <w:tcPr>
            <w:tcW w:w="1361" w:type="dxa"/>
            <w:vAlign w:val="center"/>
          </w:tcPr>
          <w:p>
            <w:pPr>
              <w:pStyle w:val="12"/>
            </w:pPr>
            <w:r>
              <w:t>204.66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507.26</w:t>
            </w:r>
          </w:p>
        </w:tc>
        <w:tc>
          <w:tcPr>
            <w:tcW w:w="1361" w:type="dxa"/>
            <w:vAlign w:val="center"/>
          </w:tcPr>
          <w:p>
            <w:pPr>
              <w:pStyle w:val="12"/>
            </w:pPr>
            <w:r>
              <w:t>302.60</w:t>
            </w:r>
          </w:p>
        </w:tc>
        <w:tc>
          <w:tcPr>
            <w:tcW w:w="1361" w:type="dxa"/>
            <w:vAlign w:val="center"/>
          </w:tcPr>
          <w:p>
            <w:pPr>
              <w:pStyle w:val="12"/>
            </w:pPr>
            <w:r>
              <w:t>204.66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2040601</w:t>
            </w:r>
          </w:p>
        </w:tc>
        <w:tc>
          <w:tcPr>
            <w:tcW w:w="4535" w:type="dxa"/>
            <w:vAlign w:val="center"/>
          </w:tcPr>
          <w:p>
            <w:pPr>
              <w:pStyle w:val="13"/>
            </w:pPr>
            <w:r>
              <w:t>行政运行</w:t>
            </w:r>
          </w:p>
        </w:tc>
        <w:tc>
          <w:tcPr>
            <w:tcW w:w="1361" w:type="dxa"/>
            <w:vAlign w:val="center"/>
          </w:tcPr>
          <w:p>
            <w:pPr>
              <w:pStyle w:val="12"/>
            </w:pPr>
            <w:r>
              <w:t>302.60</w:t>
            </w:r>
          </w:p>
        </w:tc>
        <w:tc>
          <w:tcPr>
            <w:tcW w:w="1361" w:type="dxa"/>
            <w:vAlign w:val="center"/>
          </w:tcPr>
          <w:p>
            <w:pPr>
              <w:pStyle w:val="12"/>
            </w:pPr>
            <w:r>
              <w:t>302.60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2040604</w:t>
            </w:r>
          </w:p>
        </w:tc>
        <w:tc>
          <w:tcPr>
            <w:tcW w:w="4535" w:type="dxa"/>
            <w:vAlign w:val="center"/>
          </w:tcPr>
          <w:p>
            <w:pPr>
              <w:pStyle w:val="13"/>
            </w:pPr>
            <w:r>
              <w:t>基层司法业务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2040605</w:t>
            </w:r>
          </w:p>
        </w:tc>
        <w:tc>
          <w:tcPr>
            <w:tcW w:w="4535" w:type="dxa"/>
            <w:vAlign w:val="center"/>
          </w:tcPr>
          <w:p>
            <w:pPr>
              <w:pStyle w:val="13"/>
            </w:pPr>
            <w:r>
              <w:t>普法宣传</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2040607</w:t>
            </w:r>
          </w:p>
        </w:tc>
        <w:tc>
          <w:tcPr>
            <w:tcW w:w="4535" w:type="dxa"/>
            <w:vAlign w:val="center"/>
          </w:tcPr>
          <w:p>
            <w:pPr>
              <w:pStyle w:val="13"/>
            </w:pPr>
            <w:r>
              <w:t>法律援助</w:t>
            </w:r>
          </w:p>
        </w:tc>
        <w:tc>
          <w:tcPr>
            <w:tcW w:w="1361" w:type="dxa"/>
            <w:vAlign w:val="center"/>
          </w:tcPr>
          <w:p>
            <w:pPr>
              <w:pStyle w:val="12"/>
            </w:pPr>
            <w:r>
              <w:t>96.00</w:t>
            </w:r>
          </w:p>
        </w:tc>
        <w:tc>
          <w:tcPr>
            <w:tcW w:w="1361" w:type="dxa"/>
            <w:vAlign w:val="center"/>
          </w:tcPr>
          <w:p>
            <w:pPr>
              <w:pStyle w:val="12"/>
            </w:pPr>
          </w:p>
        </w:tc>
        <w:tc>
          <w:tcPr>
            <w:tcW w:w="1361" w:type="dxa"/>
            <w:vAlign w:val="center"/>
          </w:tcPr>
          <w:p>
            <w:pPr>
              <w:pStyle w:val="12"/>
            </w:pPr>
            <w:r>
              <w:t>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2040610</w:t>
            </w:r>
          </w:p>
        </w:tc>
        <w:tc>
          <w:tcPr>
            <w:tcW w:w="4535" w:type="dxa"/>
            <w:vAlign w:val="center"/>
          </w:tcPr>
          <w:p>
            <w:pPr>
              <w:pStyle w:val="13"/>
            </w:pPr>
            <w:r>
              <w:t>社区矫正</w:t>
            </w:r>
          </w:p>
        </w:tc>
        <w:tc>
          <w:tcPr>
            <w:tcW w:w="1361" w:type="dxa"/>
            <w:vAlign w:val="center"/>
          </w:tcPr>
          <w:p>
            <w:pPr>
              <w:pStyle w:val="12"/>
            </w:pPr>
            <w:r>
              <w:t>26.23</w:t>
            </w:r>
          </w:p>
        </w:tc>
        <w:tc>
          <w:tcPr>
            <w:tcW w:w="1361" w:type="dxa"/>
            <w:vAlign w:val="center"/>
          </w:tcPr>
          <w:p>
            <w:pPr>
              <w:pStyle w:val="12"/>
            </w:pPr>
          </w:p>
        </w:tc>
        <w:tc>
          <w:tcPr>
            <w:tcW w:w="1361" w:type="dxa"/>
            <w:vAlign w:val="center"/>
          </w:tcPr>
          <w:p>
            <w:pPr>
              <w:pStyle w:val="12"/>
            </w:pPr>
            <w:r>
              <w:t>26.23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2040699</w:t>
            </w:r>
          </w:p>
        </w:tc>
        <w:tc>
          <w:tcPr>
            <w:tcW w:w="4535" w:type="dxa"/>
            <w:vAlign w:val="center"/>
          </w:tcPr>
          <w:p>
            <w:pPr>
              <w:pStyle w:val="13"/>
            </w:pPr>
            <w:r>
              <w:t>其他司法支出</w:t>
            </w:r>
          </w:p>
        </w:tc>
        <w:tc>
          <w:tcPr>
            <w:tcW w:w="1361" w:type="dxa"/>
            <w:vAlign w:val="center"/>
          </w:tcPr>
          <w:p>
            <w:pPr>
              <w:pStyle w:val="12"/>
            </w:pPr>
            <w:r>
              <w:t>67.43</w:t>
            </w:r>
          </w:p>
        </w:tc>
        <w:tc>
          <w:tcPr>
            <w:tcW w:w="1361" w:type="dxa"/>
            <w:vAlign w:val="center"/>
          </w:tcPr>
          <w:p>
            <w:pPr>
              <w:pStyle w:val="12"/>
            </w:pPr>
          </w:p>
        </w:tc>
        <w:tc>
          <w:tcPr>
            <w:tcW w:w="1361" w:type="dxa"/>
            <w:vAlign w:val="center"/>
          </w:tcPr>
          <w:p>
            <w:pPr>
              <w:pStyle w:val="12"/>
            </w:pPr>
            <w:r>
              <w:t>67.43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20.10</w:t>
            </w:r>
          </w:p>
        </w:tc>
        <w:tc>
          <w:tcPr>
            <w:tcW w:w="1361" w:type="dxa"/>
            <w:vAlign w:val="center"/>
          </w:tcPr>
          <w:p>
            <w:pPr>
              <w:pStyle w:val="12"/>
            </w:pPr>
            <w:r>
              <w:t>20.10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19.30</w:t>
            </w:r>
          </w:p>
        </w:tc>
        <w:tc>
          <w:tcPr>
            <w:tcW w:w="1361" w:type="dxa"/>
            <w:vAlign w:val="center"/>
          </w:tcPr>
          <w:p>
            <w:pPr>
              <w:pStyle w:val="12"/>
            </w:pPr>
            <w:r>
              <w:t>19.30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19.30</w:t>
            </w:r>
          </w:p>
        </w:tc>
        <w:tc>
          <w:tcPr>
            <w:tcW w:w="1361" w:type="dxa"/>
            <w:vAlign w:val="center"/>
          </w:tcPr>
          <w:p>
            <w:pPr>
              <w:pStyle w:val="12"/>
            </w:pPr>
            <w:r>
              <w:t>19.30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0.80</w:t>
            </w:r>
          </w:p>
        </w:tc>
        <w:tc>
          <w:tcPr>
            <w:tcW w:w="1361" w:type="dxa"/>
            <w:vAlign w:val="center"/>
          </w:tcPr>
          <w:p>
            <w:pPr>
              <w:pStyle w:val="12"/>
            </w:pPr>
            <w:r>
              <w:t>0.80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0.80</w:t>
            </w:r>
          </w:p>
        </w:tc>
        <w:tc>
          <w:tcPr>
            <w:tcW w:w="1361" w:type="dxa"/>
            <w:vAlign w:val="center"/>
          </w:tcPr>
          <w:p>
            <w:pPr>
              <w:pStyle w:val="12"/>
            </w:pPr>
            <w:r>
              <w:t>0.80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12.40</w:t>
            </w:r>
          </w:p>
        </w:tc>
        <w:tc>
          <w:tcPr>
            <w:tcW w:w="1361" w:type="dxa"/>
            <w:vAlign w:val="center"/>
          </w:tcPr>
          <w:p>
            <w:pPr>
              <w:pStyle w:val="12"/>
            </w:pPr>
            <w:r>
              <w:t>12.40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12.40</w:t>
            </w:r>
          </w:p>
        </w:tc>
        <w:tc>
          <w:tcPr>
            <w:tcW w:w="1361" w:type="dxa"/>
            <w:vAlign w:val="center"/>
          </w:tcPr>
          <w:p>
            <w:pPr>
              <w:pStyle w:val="12"/>
            </w:pPr>
            <w:r>
              <w:t>12.40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12.40</w:t>
            </w:r>
          </w:p>
        </w:tc>
        <w:tc>
          <w:tcPr>
            <w:tcW w:w="1361" w:type="dxa"/>
            <w:vAlign w:val="center"/>
          </w:tcPr>
          <w:p>
            <w:pPr>
              <w:pStyle w:val="12"/>
            </w:pPr>
            <w:r>
              <w:t>12.40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19.30</w:t>
            </w:r>
          </w:p>
        </w:tc>
        <w:tc>
          <w:tcPr>
            <w:tcW w:w="1361" w:type="dxa"/>
            <w:vAlign w:val="center"/>
          </w:tcPr>
          <w:p>
            <w:pPr>
              <w:pStyle w:val="12"/>
            </w:pPr>
            <w:r>
              <w:t>19.30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19.30</w:t>
            </w:r>
          </w:p>
        </w:tc>
        <w:tc>
          <w:tcPr>
            <w:tcW w:w="1361" w:type="dxa"/>
            <w:vAlign w:val="center"/>
          </w:tcPr>
          <w:p>
            <w:pPr>
              <w:pStyle w:val="12"/>
            </w:pPr>
            <w:r>
              <w:t>19.30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19.30</w:t>
            </w:r>
          </w:p>
        </w:tc>
        <w:tc>
          <w:tcPr>
            <w:tcW w:w="1361" w:type="dxa"/>
            <w:vAlign w:val="center"/>
          </w:tcPr>
          <w:p>
            <w:pPr>
              <w:pStyle w:val="12"/>
            </w:pPr>
            <w:r>
              <w:t>19.30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3" w:name="_Toc_2_2_0000000004"/>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3402" w:type="dxa"/>
            <w:tcBorders>
              <w:top w:val="single" w:color="FFFFFF" w:sz="6" w:space="0"/>
              <w:left w:val="single" w:color="FFFFFF" w:sz="6" w:space="0"/>
              <w:right w:val="single" w:color="FFFFFF" w:sz="6" w:space="0"/>
            </w:tcBorders>
            <w:vAlign w:val="center"/>
          </w:tcPr>
          <w:p>
            <w:pPr>
              <w:pStyle w:val="9"/>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559.06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507.26</w:t>
            </w:r>
          </w:p>
        </w:tc>
        <w:tc>
          <w:tcPr>
            <w:tcW w:w="1474" w:type="dxa"/>
            <w:vAlign w:val="center"/>
          </w:tcPr>
          <w:p>
            <w:pPr>
              <w:pStyle w:val="12"/>
            </w:pPr>
            <w:r>
              <w:t>507.26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20.10</w:t>
            </w:r>
          </w:p>
        </w:tc>
        <w:tc>
          <w:tcPr>
            <w:tcW w:w="1474" w:type="dxa"/>
            <w:vAlign w:val="center"/>
          </w:tcPr>
          <w:p>
            <w:pPr>
              <w:pStyle w:val="12"/>
            </w:pPr>
            <w:r>
              <w:t>20.10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12.40</w:t>
            </w:r>
          </w:p>
        </w:tc>
        <w:tc>
          <w:tcPr>
            <w:tcW w:w="1474" w:type="dxa"/>
            <w:vAlign w:val="center"/>
          </w:tcPr>
          <w:p>
            <w:pPr>
              <w:pStyle w:val="12"/>
            </w:pPr>
            <w:r>
              <w:t>12.40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19.30</w:t>
            </w:r>
          </w:p>
        </w:tc>
        <w:tc>
          <w:tcPr>
            <w:tcW w:w="1474" w:type="dxa"/>
            <w:vAlign w:val="center"/>
          </w:tcPr>
          <w:p>
            <w:pPr>
              <w:pStyle w:val="12"/>
            </w:pPr>
            <w:r>
              <w:t>19.30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559.06</w:t>
            </w:r>
          </w:p>
        </w:tc>
        <w:tc>
          <w:tcPr>
            <w:tcW w:w="3402" w:type="dxa"/>
            <w:vAlign w:val="center"/>
          </w:tcPr>
          <w:p>
            <w:pPr>
              <w:pStyle w:val="15"/>
            </w:pPr>
            <w:r>
              <w:t>本年支出合计</w:t>
            </w:r>
          </w:p>
        </w:tc>
        <w:tc>
          <w:tcPr>
            <w:tcW w:w="1474" w:type="dxa"/>
            <w:vAlign w:val="center"/>
          </w:tcPr>
          <w:p>
            <w:pPr>
              <w:pStyle w:val="16"/>
            </w:pPr>
            <w:r>
              <w:t>559.06</w:t>
            </w:r>
          </w:p>
        </w:tc>
        <w:tc>
          <w:tcPr>
            <w:tcW w:w="1474" w:type="dxa"/>
            <w:vAlign w:val="center"/>
          </w:tcPr>
          <w:p>
            <w:pPr>
              <w:pStyle w:val="16"/>
            </w:pPr>
            <w:r>
              <w:t>559.06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559.06</w:t>
            </w:r>
          </w:p>
        </w:tc>
        <w:tc>
          <w:tcPr>
            <w:tcW w:w="3402" w:type="dxa"/>
            <w:vAlign w:val="center"/>
          </w:tcPr>
          <w:p>
            <w:pPr>
              <w:pStyle w:val="15"/>
            </w:pPr>
            <w:r>
              <w:t>支出总计</w:t>
            </w:r>
          </w:p>
        </w:tc>
        <w:tc>
          <w:tcPr>
            <w:tcW w:w="1474" w:type="dxa"/>
            <w:vAlign w:val="center"/>
          </w:tcPr>
          <w:p>
            <w:pPr>
              <w:pStyle w:val="16"/>
            </w:pPr>
            <w:r>
              <w:t>559.06</w:t>
            </w:r>
          </w:p>
        </w:tc>
        <w:tc>
          <w:tcPr>
            <w:tcW w:w="1474" w:type="dxa"/>
            <w:vAlign w:val="center"/>
          </w:tcPr>
          <w:p>
            <w:pPr>
              <w:pStyle w:val="16"/>
            </w:pPr>
            <w:r>
              <w:t>559.06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559.06</w:t>
            </w:r>
          </w:p>
        </w:tc>
        <w:tc>
          <w:tcPr>
            <w:tcW w:w="2551" w:type="dxa"/>
            <w:vAlign w:val="center"/>
          </w:tcPr>
          <w:p>
            <w:pPr>
              <w:pStyle w:val="16"/>
            </w:pPr>
            <w:r>
              <w:t>354.40</w:t>
            </w:r>
          </w:p>
        </w:tc>
        <w:tc>
          <w:tcPr>
            <w:tcW w:w="2551" w:type="dxa"/>
            <w:vAlign w:val="center"/>
          </w:tcPr>
          <w:p>
            <w:pPr>
              <w:pStyle w:val="16"/>
            </w:pPr>
            <w:r>
              <w:t>204.66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507.26</w:t>
            </w:r>
          </w:p>
        </w:tc>
        <w:tc>
          <w:tcPr>
            <w:tcW w:w="2551" w:type="dxa"/>
            <w:vAlign w:val="center"/>
          </w:tcPr>
          <w:p>
            <w:pPr>
              <w:pStyle w:val="12"/>
            </w:pPr>
            <w:r>
              <w:t>302.60</w:t>
            </w:r>
          </w:p>
        </w:tc>
        <w:tc>
          <w:tcPr>
            <w:tcW w:w="2551" w:type="dxa"/>
            <w:vAlign w:val="center"/>
          </w:tcPr>
          <w:p>
            <w:pPr>
              <w:pStyle w:val="12"/>
            </w:pPr>
            <w:r>
              <w:t>204.66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507.26</w:t>
            </w:r>
          </w:p>
        </w:tc>
        <w:tc>
          <w:tcPr>
            <w:tcW w:w="2551" w:type="dxa"/>
            <w:vAlign w:val="center"/>
          </w:tcPr>
          <w:p>
            <w:pPr>
              <w:pStyle w:val="12"/>
            </w:pPr>
            <w:r>
              <w:t>302.60</w:t>
            </w:r>
          </w:p>
        </w:tc>
        <w:tc>
          <w:tcPr>
            <w:tcW w:w="2551" w:type="dxa"/>
            <w:vAlign w:val="center"/>
          </w:tcPr>
          <w:p>
            <w:pPr>
              <w:pStyle w:val="12"/>
            </w:pPr>
            <w:r>
              <w:t>204.66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2040601</w:t>
            </w:r>
          </w:p>
        </w:tc>
        <w:tc>
          <w:tcPr>
            <w:tcW w:w="4535" w:type="dxa"/>
            <w:vAlign w:val="center"/>
          </w:tcPr>
          <w:p>
            <w:pPr>
              <w:pStyle w:val="13"/>
            </w:pPr>
            <w:r>
              <w:t>行政运行</w:t>
            </w:r>
          </w:p>
        </w:tc>
        <w:tc>
          <w:tcPr>
            <w:tcW w:w="2551" w:type="dxa"/>
            <w:vAlign w:val="center"/>
          </w:tcPr>
          <w:p>
            <w:pPr>
              <w:pStyle w:val="12"/>
            </w:pPr>
            <w:r>
              <w:t>302.60</w:t>
            </w:r>
          </w:p>
        </w:tc>
        <w:tc>
          <w:tcPr>
            <w:tcW w:w="2551" w:type="dxa"/>
            <w:vAlign w:val="center"/>
          </w:tcPr>
          <w:p>
            <w:pPr>
              <w:pStyle w:val="12"/>
            </w:pPr>
            <w:r>
              <w:t>302.60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2040604</w:t>
            </w:r>
          </w:p>
        </w:tc>
        <w:tc>
          <w:tcPr>
            <w:tcW w:w="4535" w:type="dxa"/>
            <w:vAlign w:val="center"/>
          </w:tcPr>
          <w:p>
            <w:pPr>
              <w:pStyle w:val="13"/>
            </w:pPr>
            <w:r>
              <w:t>基层司法业务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2040605</w:t>
            </w:r>
          </w:p>
        </w:tc>
        <w:tc>
          <w:tcPr>
            <w:tcW w:w="4535" w:type="dxa"/>
            <w:vAlign w:val="center"/>
          </w:tcPr>
          <w:p>
            <w:pPr>
              <w:pStyle w:val="13"/>
            </w:pPr>
            <w:r>
              <w:t>普法宣传</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2040607</w:t>
            </w:r>
          </w:p>
        </w:tc>
        <w:tc>
          <w:tcPr>
            <w:tcW w:w="4535" w:type="dxa"/>
            <w:vAlign w:val="center"/>
          </w:tcPr>
          <w:p>
            <w:pPr>
              <w:pStyle w:val="13"/>
            </w:pPr>
            <w:r>
              <w:t>法律援助</w:t>
            </w:r>
          </w:p>
        </w:tc>
        <w:tc>
          <w:tcPr>
            <w:tcW w:w="2551" w:type="dxa"/>
            <w:vAlign w:val="center"/>
          </w:tcPr>
          <w:p>
            <w:pPr>
              <w:pStyle w:val="12"/>
            </w:pPr>
            <w:r>
              <w:t>96.00</w:t>
            </w:r>
          </w:p>
        </w:tc>
        <w:tc>
          <w:tcPr>
            <w:tcW w:w="2551" w:type="dxa"/>
            <w:vAlign w:val="center"/>
          </w:tcPr>
          <w:p>
            <w:pPr>
              <w:pStyle w:val="12"/>
            </w:pPr>
          </w:p>
        </w:tc>
        <w:tc>
          <w:tcPr>
            <w:tcW w:w="2551" w:type="dxa"/>
            <w:vAlign w:val="center"/>
          </w:tcPr>
          <w:p>
            <w:pPr>
              <w:pStyle w:val="12"/>
            </w:pPr>
            <w:r>
              <w:t>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2040610</w:t>
            </w:r>
          </w:p>
        </w:tc>
        <w:tc>
          <w:tcPr>
            <w:tcW w:w="4535" w:type="dxa"/>
            <w:vAlign w:val="center"/>
          </w:tcPr>
          <w:p>
            <w:pPr>
              <w:pStyle w:val="13"/>
            </w:pPr>
            <w:r>
              <w:t>社区矫正</w:t>
            </w:r>
          </w:p>
        </w:tc>
        <w:tc>
          <w:tcPr>
            <w:tcW w:w="2551" w:type="dxa"/>
            <w:vAlign w:val="center"/>
          </w:tcPr>
          <w:p>
            <w:pPr>
              <w:pStyle w:val="12"/>
            </w:pPr>
            <w:r>
              <w:t>26.23</w:t>
            </w:r>
          </w:p>
        </w:tc>
        <w:tc>
          <w:tcPr>
            <w:tcW w:w="2551" w:type="dxa"/>
            <w:vAlign w:val="center"/>
          </w:tcPr>
          <w:p>
            <w:pPr>
              <w:pStyle w:val="12"/>
            </w:pPr>
          </w:p>
        </w:tc>
        <w:tc>
          <w:tcPr>
            <w:tcW w:w="2551" w:type="dxa"/>
            <w:vAlign w:val="center"/>
          </w:tcPr>
          <w:p>
            <w:pPr>
              <w:pStyle w:val="12"/>
            </w:pPr>
            <w:r>
              <w:t>26.23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2040699</w:t>
            </w:r>
          </w:p>
        </w:tc>
        <w:tc>
          <w:tcPr>
            <w:tcW w:w="4535" w:type="dxa"/>
            <w:vAlign w:val="center"/>
          </w:tcPr>
          <w:p>
            <w:pPr>
              <w:pStyle w:val="13"/>
            </w:pPr>
            <w:r>
              <w:t>其他司法支出</w:t>
            </w:r>
          </w:p>
        </w:tc>
        <w:tc>
          <w:tcPr>
            <w:tcW w:w="2551" w:type="dxa"/>
            <w:vAlign w:val="center"/>
          </w:tcPr>
          <w:p>
            <w:pPr>
              <w:pStyle w:val="12"/>
            </w:pPr>
            <w:r>
              <w:t>67.43</w:t>
            </w:r>
          </w:p>
        </w:tc>
        <w:tc>
          <w:tcPr>
            <w:tcW w:w="2551" w:type="dxa"/>
            <w:vAlign w:val="center"/>
          </w:tcPr>
          <w:p>
            <w:pPr>
              <w:pStyle w:val="12"/>
            </w:pPr>
          </w:p>
        </w:tc>
        <w:tc>
          <w:tcPr>
            <w:tcW w:w="2551" w:type="dxa"/>
            <w:vAlign w:val="center"/>
          </w:tcPr>
          <w:p>
            <w:pPr>
              <w:pStyle w:val="12"/>
            </w:pPr>
            <w:r>
              <w:t>67.43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20.10</w:t>
            </w:r>
          </w:p>
        </w:tc>
        <w:tc>
          <w:tcPr>
            <w:tcW w:w="2551" w:type="dxa"/>
            <w:vAlign w:val="center"/>
          </w:tcPr>
          <w:p>
            <w:pPr>
              <w:pStyle w:val="12"/>
            </w:pPr>
            <w:r>
              <w:t>20.10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19.30</w:t>
            </w:r>
          </w:p>
        </w:tc>
        <w:tc>
          <w:tcPr>
            <w:tcW w:w="2551" w:type="dxa"/>
            <w:vAlign w:val="center"/>
          </w:tcPr>
          <w:p>
            <w:pPr>
              <w:pStyle w:val="12"/>
            </w:pPr>
            <w:r>
              <w:t>19.30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19.30</w:t>
            </w:r>
          </w:p>
        </w:tc>
        <w:tc>
          <w:tcPr>
            <w:tcW w:w="2551" w:type="dxa"/>
            <w:vAlign w:val="center"/>
          </w:tcPr>
          <w:p>
            <w:pPr>
              <w:pStyle w:val="12"/>
            </w:pPr>
            <w:r>
              <w:t>19.30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0.80</w:t>
            </w:r>
          </w:p>
        </w:tc>
        <w:tc>
          <w:tcPr>
            <w:tcW w:w="2551" w:type="dxa"/>
            <w:vAlign w:val="center"/>
          </w:tcPr>
          <w:p>
            <w:pPr>
              <w:pStyle w:val="12"/>
            </w:pPr>
            <w:r>
              <w:t>0.80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0.80</w:t>
            </w:r>
          </w:p>
        </w:tc>
        <w:tc>
          <w:tcPr>
            <w:tcW w:w="2551" w:type="dxa"/>
            <w:vAlign w:val="center"/>
          </w:tcPr>
          <w:p>
            <w:pPr>
              <w:pStyle w:val="12"/>
            </w:pPr>
            <w:r>
              <w:t>0.80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12.40</w:t>
            </w:r>
          </w:p>
        </w:tc>
        <w:tc>
          <w:tcPr>
            <w:tcW w:w="2551" w:type="dxa"/>
            <w:vAlign w:val="center"/>
          </w:tcPr>
          <w:p>
            <w:pPr>
              <w:pStyle w:val="12"/>
            </w:pPr>
            <w:r>
              <w:t>12.40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12.40</w:t>
            </w:r>
          </w:p>
        </w:tc>
        <w:tc>
          <w:tcPr>
            <w:tcW w:w="2551" w:type="dxa"/>
            <w:vAlign w:val="center"/>
          </w:tcPr>
          <w:p>
            <w:pPr>
              <w:pStyle w:val="12"/>
            </w:pPr>
            <w:r>
              <w:t>12.40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12.40</w:t>
            </w:r>
          </w:p>
        </w:tc>
        <w:tc>
          <w:tcPr>
            <w:tcW w:w="2551" w:type="dxa"/>
            <w:vAlign w:val="center"/>
          </w:tcPr>
          <w:p>
            <w:pPr>
              <w:pStyle w:val="12"/>
            </w:pPr>
            <w:r>
              <w:t>12.40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19.30</w:t>
            </w:r>
          </w:p>
        </w:tc>
        <w:tc>
          <w:tcPr>
            <w:tcW w:w="2551" w:type="dxa"/>
            <w:vAlign w:val="center"/>
          </w:tcPr>
          <w:p>
            <w:pPr>
              <w:pStyle w:val="12"/>
            </w:pPr>
            <w:r>
              <w:t>19.30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19.30</w:t>
            </w:r>
          </w:p>
        </w:tc>
        <w:tc>
          <w:tcPr>
            <w:tcW w:w="2551" w:type="dxa"/>
            <w:vAlign w:val="center"/>
          </w:tcPr>
          <w:p>
            <w:pPr>
              <w:pStyle w:val="12"/>
            </w:pPr>
            <w:r>
              <w:t>19.30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19.30</w:t>
            </w:r>
          </w:p>
        </w:tc>
        <w:tc>
          <w:tcPr>
            <w:tcW w:w="2551" w:type="dxa"/>
            <w:vAlign w:val="center"/>
          </w:tcPr>
          <w:p>
            <w:pPr>
              <w:pStyle w:val="12"/>
            </w:pPr>
            <w:r>
              <w:t>19.30</w:t>
            </w:r>
          </w:p>
        </w:tc>
        <w:tc>
          <w:tcPr>
            <w:tcW w:w="255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w:t>
            </w:r>
            <w:r>
              <w:rPr>
                <w:rFonts w:hint="eastAsia"/>
                <w:lang w:eastAsia="zh-CN"/>
              </w:rPr>
              <w:t>单位</w:t>
            </w:r>
            <w:r>
              <w:t>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354.40</w:t>
            </w:r>
          </w:p>
        </w:tc>
        <w:tc>
          <w:tcPr>
            <w:tcW w:w="2551" w:type="dxa"/>
            <w:vAlign w:val="center"/>
          </w:tcPr>
          <w:p>
            <w:pPr>
              <w:pStyle w:val="16"/>
            </w:pPr>
            <w:r>
              <w:t>307.19</w:t>
            </w:r>
          </w:p>
        </w:tc>
        <w:tc>
          <w:tcPr>
            <w:tcW w:w="2551" w:type="dxa"/>
            <w:vAlign w:val="center"/>
          </w:tcPr>
          <w:p>
            <w:pPr>
              <w:pStyle w:val="16"/>
            </w:pPr>
            <w:r>
              <w:t>47.21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305.38</w:t>
            </w:r>
          </w:p>
        </w:tc>
        <w:tc>
          <w:tcPr>
            <w:tcW w:w="2551" w:type="dxa"/>
            <w:vAlign w:val="center"/>
          </w:tcPr>
          <w:p>
            <w:pPr>
              <w:pStyle w:val="12"/>
            </w:pPr>
            <w:r>
              <w:t>305.38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127.00</w:t>
            </w:r>
          </w:p>
        </w:tc>
        <w:tc>
          <w:tcPr>
            <w:tcW w:w="2551" w:type="dxa"/>
            <w:vAlign w:val="center"/>
          </w:tcPr>
          <w:p>
            <w:pPr>
              <w:pStyle w:val="12"/>
            </w:pPr>
            <w:r>
              <w:t>127.00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113.18</w:t>
            </w:r>
          </w:p>
        </w:tc>
        <w:tc>
          <w:tcPr>
            <w:tcW w:w="2551" w:type="dxa"/>
            <w:vAlign w:val="center"/>
          </w:tcPr>
          <w:p>
            <w:pPr>
              <w:pStyle w:val="12"/>
            </w:pPr>
            <w:r>
              <w:t>113.18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10.83</w:t>
            </w:r>
          </w:p>
        </w:tc>
        <w:tc>
          <w:tcPr>
            <w:tcW w:w="2551" w:type="dxa"/>
            <w:vAlign w:val="center"/>
          </w:tcPr>
          <w:p>
            <w:pPr>
              <w:pStyle w:val="12"/>
            </w:pPr>
            <w:r>
              <w:t>10.83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19.30</w:t>
            </w:r>
          </w:p>
        </w:tc>
        <w:tc>
          <w:tcPr>
            <w:tcW w:w="2551" w:type="dxa"/>
            <w:vAlign w:val="center"/>
          </w:tcPr>
          <w:p>
            <w:pPr>
              <w:pStyle w:val="12"/>
            </w:pPr>
            <w:r>
              <w:t>19.30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城镇职工基本医疗保险缴费</w:t>
            </w:r>
          </w:p>
        </w:tc>
        <w:tc>
          <w:tcPr>
            <w:tcW w:w="2551" w:type="dxa"/>
            <w:vAlign w:val="center"/>
          </w:tcPr>
          <w:p>
            <w:pPr>
              <w:pStyle w:val="12"/>
            </w:pPr>
            <w:r>
              <w:t>12.40</w:t>
            </w:r>
          </w:p>
        </w:tc>
        <w:tc>
          <w:tcPr>
            <w:tcW w:w="2551" w:type="dxa"/>
            <w:vAlign w:val="center"/>
          </w:tcPr>
          <w:p>
            <w:pPr>
              <w:pStyle w:val="12"/>
            </w:pPr>
            <w:r>
              <w:t>12.40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3.37</w:t>
            </w:r>
          </w:p>
        </w:tc>
        <w:tc>
          <w:tcPr>
            <w:tcW w:w="2551" w:type="dxa"/>
            <w:vAlign w:val="center"/>
          </w:tcPr>
          <w:p>
            <w:pPr>
              <w:pStyle w:val="12"/>
            </w:pPr>
            <w:r>
              <w:t>3.37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19.30</w:t>
            </w:r>
          </w:p>
        </w:tc>
        <w:tc>
          <w:tcPr>
            <w:tcW w:w="2551" w:type="dxa"/>
            <w:vAlign w:val="center"/>
          </w:tcPr>
          <w:p>
            <w:pPr>
              <w:pStyle w:val="12"/>
            </w:pPr>
            <w:r>
              <w:t>19.30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47.21</w:t>
            </w:r>
          </w:p>
        </w:tc>
        <w:tc>
          <w:tcPr>
            <w:tcW w:w="2551" w:type="dxa"/>
            <w:vAlign w:val="center"/>
          </w:tcPr>
          <w:p>
            <w:pPr>
              <w:pStyle w:val="12"/>
            </w:pPr>
          </w:p>
        </w:tc>
        <w:tc>
          <w:tcPr>
            <w:tcW w:w="2551" w:type="dxa"/>
            <w:vAlign w:val="center"/>
          </w:tcPr>
          <w:p>
            <w:pPr>
              <w:pStyle w:val="12"/>
            </w:pPr>
            <w:r>
              <w:t>47.21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7.48</w:t>
            </w:r>
          </w:p>
        </w:tc>
        <w:tc>
          <w:tcPr>
            <w:tcW w:w="2551" w:type="dxa"/>
            <w:vAlign w:val="center"/>
          </w:tcPr>
          <w:p>
            <w:pPr>
              <w:pStyle w:val="12"/>
            </w:pPr>
          </w:p>
        </w:tc>
        <w:tc>
          <w:tcPr>
            <w:tcW w:w="2551" w:type="dxa"/>
            <w:vAlign w:val="center"/>
          </w:tcPr>
          <w:p>
            <w:pPr>
              <w:pStyle w:val="12"/>
            </w:pPr>
            <w:r>
              <w:t>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9.25</w:t>
            </w:r>
          </w:p>
        </w:tc>
        <w:tc>
          <w:tcPr>
            <w:tcW w:w="2551" w:type="dxa"/>
            <w:vAlign w:val="center"/>
          </w:tcPr>
          <w:p>
            <w:pPr>
              <w:pStyle w:val="12"/>
            </w:pPr>
          </w:p>
        </w:tc>
        <w:tc>
          <w:tcPr>
            <w:tcW w:w="2551" w:type="dxa"/>
            <w:vAlign w:val="center"/>
          </w:tcPr>
          <w:p>
            <w:pPr>
              <w:pStyle w:val="12"/>
            </w:pPr>
            <w: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0.27</w:t>
            </w:r>
          </w:p>
        </w:tc>
        <w:tc>
          <w:tcPr>
            <w:tcW w:w="2551" w:type="dxa"/>
            <w:vAlign w:val="center"/>
          </w:tcPr>
          <w:p>
            <w:pPr>
              <w:pStyle w:val="12"/>
            </w:pPr>
          </w:p>
        </w:tc>
        <w:tc>
          <w:tcPr>
            <w:tcW w:w="2551" w:type="dxa"/>
            <w:vAlign w:val="center"/>
          </w:tcPr>
          <w:p>
            <w:pPr>
              <w:pStyle w:val="12"/>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2.41</w:t>
            </w:r>
          </w:p>
        </w:tc>
        <w:tc>
          <w:tcPr>
            <w:tcW w:w="2551" w:type="dxa"/>
            <w:vAlign w:val="center"/>
          </w:tcPr>
          <w:p>
            <w:pPr>
              <w:pStyle w:val="12"/>
            </w:pPr>
          </w:p>
        </w:tc>
        <w:tc>
          <w:tcPr>
            <w:tcW w:w="2551" w:type="dxa"/>
            <w:vAlign w:val="center"/>
          </w:tcPr>
          <w:p>
            <w:pPr>
              <w:pStyle w:val="12"/>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2.45</w:t>
            </w:r>
          </w:p>
        </w:tc>
        <w:tc>
          <w:tcPr>
            <w:tcW w:w="2551" w:type="dxa"/>
            <w:vAlign w:val="center"/>
          </w:tcPr>
          <w:p>
            <w:pPr>
              <w:pStyle w:val="12"/>
            </w:pPr>
          </w:p>
        </w:tc>
        <w:tc>
          <w:tcPr>
            <w:tcW w:w="2551" w:type="dxa"/>
            <w:vAlign w:val="center"/>
          </w:tcPr>
          <w:p>
            <w:pPr>
              <w:pStyle w:val="12"/>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17.40</w:t>
            </w:r>
          </w:p>
        </w:tc>
        <w:tc>
          <w:tcPr>
            <w:tcW w:w="2551" w:type="dxa"/>
            <w:vAlign w:val="center"/>
          </w:tcPr>
          <w:p>
            <w:pPr>
              <w:pStyle w:val="12"/>
            </w:pPr>
          </w:p>
        </w:tc>
        <w:tc>
          <w:tcPr>
            <w:tcW w:w="2551" w:type="dxa"/>
            <w:vAlign w:val="center"/>
          </w:tcPr>
          <w:p>
            <w:pPr>
              <w:pStyle w:val="12"/>
            </w:pPr>
            <w:r>
              <w:t>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1.95</w:t>
            </w:r>
          </w:p>
        </w:tc>
        <w:tc>
          <w:tcPr>
            <w:tcW w:w="2551" w:type="dxa"/>
            <w:vAlign w:val="center"/>
          </w:tcPr>
          <w:p>
            <w:pPr>
              <w:pStyle w:val="12"/>
            </w:pPr>
          </w:p>
        </w:tc>
        <w:tc>
          <w:tcPr>
            <w:tcW w:w="2551" w:type="dxa"/>
            <w:vAlign w:val="center"/>
          </w:tcPr>
          <w:p>
            <w:pPr>
              <w:pStyle w:val="12"/>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1.81</w:t>
            </w:r>
          </w:p>
        </w:tc>
        <w:tc>
          <w:tcPr>
            <w:tcW w:w="2551" w:type="dxa"/>
            <w:vAlign w:val="center"/>
          </w:tcPr>
          <w:p>
            <w:pPr>
              <w:pStyle w:val="12"/>
            </w:pPr>
            <w:r>
              <w:t>1.81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1.01</w:t>
            </w:r>
          </w:p>
        </w:tc>
        <w:tc>
          <w:tcPr>
            <w:tcW w:w="2551" w:type="dxa"/>
            <w:vAlign w:val="center"/>
          </w:tcPr>
          <w:p>
            <w:pPr>
              <w:pStyle w:val="12"/>
            </w:pPr>
            <w:r>
              <w:t>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0.80</w:t>
            </w:r>
          </w:p>
        </w:tc>
        <w:tc>
          <w:tcPr>
            <w:tcW w:w="2551" w:type="dxa"/>
            <w:vAlign w:val="center"/>
          </w:tcPr>
          <w:p>
            <w:pPr>
              <w:pStyle w:val="12"/>
            </w:pPr>
            <w:r>
              <w:t>0.80</w:t>
            </w:r>
          </w:p>
        </w:tc>
        <w:tc>
          <w:tcPr>
            <w:tcW w:w="2551" w:type="dxa"/>
            <w:vAlign w:val="center"/>
          </w:tcPr>
          <w:p>
            <w:pPr>
              <w:pStyle w:val="12"/>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2381" w:type="dxa"/>
            <w:tcBorders>
              <w:top w:val="single" w:color="FFFFFF" w:sz="6" w:space="0"/>
              <w:left w:val="single" w:color="FFFFFF" w:sz="6" w:space="0"/>
              <w:right w:val="single" w:color="FFFFFF" w:sz="6" w:space="0"/>
            </w:tcBorders>
            <w:vAlign w:val="center"/>
          </w:tcPr>
          <w:p>
            <w:pPr>
              <w:pStyle w:val="9"/>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6.27</w:t>
            </w:r>
          </w:p>
        </w:tc>
        <w:tc>
          <w:tcPr>
            <w:tcW w:w="2381" w:type="dxa"/>
            <w:vAlign w:val="center"/>
          </w:tcPr>
          <w:p>
            <w:pPr>
              <w:pStyle w:val="16"/>
            </w:pPr>
            <w:r>
              <w:t>6.27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6.27</w:t>
            </w:r>
          </w:p>
        </w:tc>
        <w:tc>
          <w:tcPr>
            <w:tcW w:w="2381" w:type="dxa"/>
            <w:vAlign w:val="center"/>
          </w:tcPr>
          <w:p>
            <w:pPr>
              <w:pStyle w:val="12"/>
            </w:pPr>
            <w:r>
              <w:t>6.27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6.00</w:t>
            </w:r>
          </w:p>
        </w:tc>
        <w:tc>
          <w:tcPr>
            <w:tcW w:w="2381" w:type="dxa"/>
            <w:vAlign w:val="center"/>
          </w:tcPr>
          <w:p>
            <w:pPr>
              <w:pStyle w:val="12"/>
            </w:pPr>
            <w:r>
              <w:t>6.00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6.00</w:t>
            </w:r>
          </w:p>
        </w:tc>
        <w:tc>
          <w:tcPr>
            <w:tcW w:w="2381" w:type="dxa"/>
            <w:vAlign w:val="center"/>
          </w:tcPr>
          <w:p>
            <w:pPr>
              <w:pStyle w:val="12"/>
            </w:pPr>
            <w:r>
              <w:t>6.00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0.27</w:t>
            </w:r>
          </w:p>
        </w:tc>
        <w:tc>
          <w:tcPr>
            <w:tcW w:w="2381" w:type="dxa"/>
            <w:vAlign w:val="center"/>
          </w:tcPr>
          <w:p>
            <w:pPr>
              <w:pStyle w:val="12"/>
            </w:pPr>
            <w:r>
              <w:t>0.27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高阳县司法局2022年</w:t>
      </w:r>
      <w:r>
        <w:rPr>
          <w:rFonts w:hint="eastAsia" w:ascii="方正书宋_GBK" w:eastAsia="方正书宋_GBK" w:cs="方正书宋_GBK"/>
          <w:color w:val="FFFFFF"/>
          <w:sz w:val="21"/>
          <w:lang w:eastAsia="zh-CN"/>
        </w:rPr>
        <w:t>单位</w:t>
      </w:r>
      <w:r>
        <w:rPr>
          <w:rFonts w:asci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eastAsia="方正小标宋_GBK" w:cs="方正小标宋_GBK"/>
          <w:color w:val="000000"/>
          <w:sz w:val="44"/>
        </w:rPr>
        <w:t>高阳县司法局</w:t>
      </w:r>
      <w:r>
        <w:rPr>
          <w:rFonts w:hint="eastAsia" w:ascii="方正小标宋_GBK" w:eastAsia="方正小标宋_GBK" w:cs="方正小标宋_GBK"/>
          <w:color w:val="000000"/>
          <w:sz w:val="44"/>
          <w:lang w:eastAsia="zh-CN"/>
        </w:rPr>
        <w:t>本级</w:t>
      </w:r>
      <w:r>
        <w:rPr>
          <w:rFonts w:ascii="方正小标宋_GBK" w:eastAsia="方正小标宋_GBK" w:cs="方正小标宋_GBK"/>
          <w:color w:val="000000"/>
          <w:sz w:val="44"/>
        </w:rPr>
        <w:t>2022年</w:t>
      </w:r>
      <w:r>
        <w:rPr>
          <w:rFonts w:hint="eastAsia" w:ascii="方正小标宋_GBK" w:eastAsia="方正小标宋_GBK" w:cs="方正小标宋_GBK"/>
          <w:color w:val="000000"/>
          <w:sz w:val="44"/>
          <w:lang w:eastAsia="zh-CN"/>
        </w:rPr>
        <w:t>单位</w:t>
      </w:r>
      <w:r>
        <w:rPr>
          <w:rFonts w:asci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、《地方预决算公开操作规程》和《关于进一步推进预算公开工作的实施意见》规定，现将高阳县司法局2022年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eastAsia="黑体" w:cs="黑体"/>
          <w:color w:val="000000"/>
          <w:sz w:val="32"/>
        </w:rPr>
        <w:t>一、</w:t>
      </w:r>
      <w:r>
        <w:rPr>
          <w:rFonts w:hint="eastAsia" w:ascii="黑体" w:eastAsia="黑体" w:cs="黑体"/>
          <w:color w:val="000000"/>
          <w:sz w:val="32"/>
          <w:lang w:eastAsia="zh-CN"/>
        </w:rPr>
        <w:t>单位</w:t>
      </w:r>
      <w:r>
        <w:rPr>
          <w:rFonts w:asci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eastAsia="方正楷体_GBK" w:cs="方正楷体_GBK"/>
          <w:b/>
          <w:color w:val="000000"/>
          <w:sz w:val="32"/>
          <w:lang w:eastAsia="zh-CN"/>
        </w:rPr>
        <w:t>单位</w:t>
      </w:r>
      <w:r>
        <w:rPr>
          <w:rFonts w:ascii="方正楷体_GBK" w:eastAsia="方正楷体_GBK" w:cs="方正楷体_GBK"/>
          <w:b/>
          <w:color w:val="000000"/>
          <w:sz w:val="32"/>
        </w:rPr>
        <w:t>职责：</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（一）承担全面依法治县重大问题的政策研究。组织协调有关方面提出全面依法治县中长期规划建议，负责有关重大决策部署督察工作。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（二）负责县政府及其</w:t>
      </w:r>
      <w:r>
        <w:rPr>
          <w:rFonts w:hint="eastAsia" w:ascii="仿宋_GB2312" w:hAnsi="仿宋_GB2312" w:eastAsia="仿宋_GB2312"/>
          <w:spacing w:val="-2"/>
          <w:sz w:val="32"/>
          <w:lang w:eastAsia="zh-CN"/>
        </w:rPr>
        <w:t>单位</w:t>
      </w:r>
      <w:r>
        <w:rPr>
          <w:rFonts w:hint="eastAsia" w:ascii="仿宋_GB2312" w:hAnsi="仿宋_GB2312" w:eastAsia="仿宋_GB2312"/>
          <w:spacing w:val="-2"/>
          <w:sz w:val="32"/>
        </w:rPr>
        <w:t>规范性文件的备案审查工作，负责对县政府政策措施、规范性文件和合同协议的合法性审核工作。承办县政府交办的涉法事务。</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（三）承担统筹推进高阳法治政府建设的责任。指导、监督县政府各</w:t>
      </w:r>
      <w:r>
        <w:rPr>
          <w:rFonts w:hint="eastAsia" w:ascii="仿宋_GB2312" w:hAnsi="仿宋_GB2312" w:eastAsia="仿宋_GB2312"/>
          <w:spacing w:val="-2"/>
          <w:sz w:val="32"/>
          <w:lang w:eastAsia="zh-CN"/>
        </w:rPr>
        <w:t>单位</w:t>
      </w:r>
      <w:r>
        <w:rPr>
          <w:rFonts w:hint="eastAsia" w:ascii="仿宋_GB2312" w:hAnsi="仿宋_GB2312" w:eastAsia="仿宋_GB2312"/>
          <w:spacing w:val="-2"/>
          <w:sz w:val="32"/>
        </w:rPr>
        <w:t>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（五）指导、管理全县社区矫正工作；指导、管理全县刑满释放人员安置帮教工作。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（六）负责制定全县公共法律服务体系建设规划并指导实施，统筹和布局城乡法律服务资源。负责全县律师、公证、法律援助</w:t>
      </w:r>
      <w:r>
        <w:rPr>
          <w:rFonts w:hint="eastAsia" w:ascii="仿宋_GB2312" w:hAnsi="仿宋_GB2312" w:eastAsia="仿宋_GB2312"/>
          <w:spacing w:val="-2"/>
          <w:sz w:val="32"/>
          <w:lang w:eastAsia="zh-CN"/>
        </w:rPr>
        <w:t>、</w:t>
      </w:r>
      <w:r>
        <w:rPr>
          <w:rFonts w:hint="eastAsia" w:ascii="仿宋_GB2312" w:hAnsi="仿宋_GB2312" w:eastAsia="仿宋_GB2312"/>
          <w:spacing w:val="-2"/>
          <w:sz w:val="32"/>
        </w:rPr>
        <w:t>基层法律服务管理工作。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（七）负责本系统服装和警车等物资装备管理工作；指导、监督本系统财务、装备、设施、场所等保障工作。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（八）规划、协调、指导全县法治人才队伍建设相关工作。指导、监督本系统队伍建设；管理局机关及直属单位的机构编制和人事工作；管理各乡镇司法所。</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（九）完成县委、县政府交办的其他任务。</w:t>
      </w:r>
    </w:p>
    <w:p>
      <w:pPr>
        <w:pStyle w:val="18"/>
      </w:pP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eastAsia="方正小标宋_GBK" w:cs="方正小标宋_GBK"/>
          <w:color w:val="000000"/>
          <w:sz w:val="32"/>
          <w:lang w:eastAsia="zh-CN"/>
        </w:rPr>
        <w:t>单位</w:t>
      </w:r>
      <w:r>
        <w:rPr>
          <w:rFonts w:asci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高阳县司法局（机关）</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eastAsia="黑体" w:cs="黑体"/>
          <w:color w:val="000000"/>
          <w:sz w:val="32"/>
        </w:rPr>
        <w:t>二、</w:t>
      </w:r>
      <w:r>
        <w:rPr>
          <w:rFonts w:hint="eastAsia" w:ascii="黑体" w:eastAsia="黑体" w:cs="黑体"/>
          <w:color w:val="000000"/>
          <w:sz w:val="32"/>
          <w:lang w:eastAsia="zh-CN"/>
        </w:rPr>
        <w:t>单位</w:t>
      </w:r>
      <w:r>
        <w:rPr>
          <w:rFonts w:ascii="黑体" w:eastAsia="黑体" w:cs="黑体"/>
          <w:color w:val="000000"/>
          <w:sz w:val="32"/>
        </w:rPr>
        <w:t>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预算的编制实行综合预算管理，即全部收入和支出都反映在预算中。高阳县司法局机关及所属事业单位的收支包含在</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预算中。</w:t>
      </w:r>
    </w:p>
    <w:p>
      <w:pPr>
        <w:pStyle w:val="19"/>
        <w:rPr>
          <w:lang w:val="en-US" w:eastAsia="uk-UA"/>
        </w:rPr>
      </w:pPr>
      <w:r>
        <w:rPr>
          <w:lang w:val="en-US" w:eastAsia="uk-UA"/>
        </w:rPr>
        <w:t>1</w:t>
      </w:r>
      <w:r>
        <w:rPr>
          <w:rFonts w:hint="eastAsia"/>
          <w:lang w:val="en-US" w:eastAsia="uk-UA"/>
        </w:rPr>
        <w:t>、收入说明</w:t>
      </w:r>
    </w:p>
    <w:p>
      <w:pPr>
        <w:pStyle w:val="19"/>
        <w:rPr>
          <w:lang w:val="en-US" w:eastAsia="uk-UA"/>
        </w:rPr>
      </w:pPr>
      <w:r>
        <w:rPr>
          <w:lang w:val="en-US" w:eastAsia="uk-UA"/>
        </w:rPr>
        <w:t>2022</w:t>
      </w:r>
      <w:r>
        <w:rPr>
          <w:rFonts w:hint="eastAsia"/>
          <w:lang w:val="en-US" w:eastAsia="uk-UA"/>
        </w:rPr>
        <w:t>年高阳县</w:t>
      </w:r>
      <w:r>
        <w:rPr>
          <w:rFonts w:hint="eastAsia"/>
          <w:lang w:val="en-US" w:eastAsia="zh-CN"/>
        </w:rPr>
        <w:t>司法局单位</w:t>
      </w:r>
      <w:r>
        <w:rPr>
          <w:rFonts w:hint="eastAsia"/>
          <w:lang w:val="en-US" w:eastAsia="uk-UA"/>
        </w:rPr>
        <w:t>预算收入总额为</w:t>
      </w:r>
      <w:r>
        <w:rPr>
          <w:rFonts w:hint="eastAsia"/>
          <w:lang w:val="en-US" w:eastAsia="zh-CN"/>
        </w:rPr>
        <w:t>559.06</w:t>
      </w:r>
      <w:r>
        <w:rPr>
          <w:rFonts w:hint="eastAsia"/>
          <w:lang w:val="en-US" w:eastAsia="uk-UA"/>
        </w:rPr>
        <w:t>万元，其中：一般公共预算收入</w:t>
      </w:r>
      <w:r>
        <w:rPr>
          <w:rFonts w:hint="eastAsia"/>
          <w:lang w:val="en-US" w:eastAsia="zh-CN"/>
        </w:rPr>
        <w:t>559.06</w:t>
      </w:r>
      <w:r>
        <w:rPr>
          <w:rFonts w:hint="eastAsia"/>
          <w:lang w:val="en-US" w:eastAsia="uk-UA"/>
        </w:rPr>
        <w:t>万元，基金预算收入0万元，国有资本经营预算收入0万元，财政专户核拨收入</w:t>
      </w:r>
      <w:r>
        <w:rPr>
          <w:lang w:val="en-US" w:eastAsia="uk-UA"/>
        </w:rPr>
        <w:t>0</w:t>
      </w:r>
      <w:r>
        <w:rPr>
          <w:rFonts w:hint="eastAsia"/>
          <w:lang w:val="en-US" w:eastAsia="uk-UA"/>
        </w:rPr>
        <w:t>万元，单位资金收入0万元，上年结转结余</w:t>
      </w:r>
      <w:r>
        <w:rPr>
          <w:lang w:val="en-US" w:eastAsia="uk-UA"/>
        </w:rPr>
        <w:t>0</w:t>
      </w:r>
      <w:r>
        <w:rPr>
          <w:rFonts w:hint="eastAsia"/>
          <w:lang w:val="en-US" w:eastAsia="uk-UA"/>
        </w:rPr>
        <w:t>万元。</w:t>
      </w:r>
    </w:p>
    <w:p>
      <w:pPr>
        <w:pStyle w:val="19"/>
        <w:rPr>
          <w:lang w:val="en-US" w:eastAsia="uk-UA"/>
        </w:rPr>
      </w:pPr>
      <w:r>
        <w:rPr>
          <w:lang w:val="en-US" w:eastAsia="uk-UA"/>
        </w:rPr>
        <w:t>2</w:t>
      </w:r>
      <w:r>
        <w:rPr>
          <w:rFonts w:hint="eastAsia"/>
          <w:lang w:val="en-US" w:eastAsia="uk-UA"/>
        </w:rPr>
        <w:t>、支出说明</w:t>
      </w:r>
    </w:p>
    <w:p>
      <w:pPr>
        <w:pStyle w:val="19"/>
        <w:rPr>
          <w:lang w:val="en-US" w:eastAsia="uk-UA"/>
        </w:rPr>
      </w:pPr>
      <w:r>
        <w:rPr>
          <w:lang w:val="en-US" w:eastAsia="uk-UA"/>
        </w:rPr>
        <w:t>2022</w:t>
      </w:r>
      <w:r>
        <w:rPr>
          <w:rFonts w:hint="eastAsia"/>
          <w:lang w:val="en-US" w:eastAsia="uk-UA"/>
        </w:rPr>
        <w:t>年</w:t>
      </w:r>
      <w:r>
        <w:rPr>
          <w:rFonts w:hint="eastAsia"/>
          <w:lang w:val="en-US" w:eastAsia="zh-CN"/>
        </w:rPr>
        <w:t>高阳县司法局单位</w:t>
      </w:r>
      <w:r>
        <w:rPr>
          <w:rFonts w:hint="eastAsia"/>
          <w:lang w:val="en-US" w:eastAsia="uk-UA"/>
        </w:rPr>
        <w:t>支出预算为</w:t>
      </w:r>
      <w:r>
        <w:rPr>
          <w:rFonts w:hint="eastAsia"/>
          <w:lang w:val="en-US" w:eastAsia="zh-CN"/>
        </w:rPr>
        <w:t>559.06</w:t>
      </w:r>
      <w:r>
        <w:rPr>
          <w:rFonts w:hint="eastAsia"/>
          <w:lang w:val="en-US" w:eastAsia="uk-UA"/>
        </w:rPr>
        <w:t>万元，其中基本支出</w:t>
      </w:r>
      <w:r>
        <w:rPr>
          <w:rFonts w:hint="eastAsia"/>
          <w:lang w:val="en-US" w:eastAsia="zh-CN"/>
        </w:rPr>
        <w:t>354.4</w:t>
      </w:r>
      <w:r>
        <w:rPr>
          <w:rFonts w:hint="eastAsia"/>
          <w:lang w:val="en-US" w:eastAsia="uk-UA"/>
        </w:rPr>
        <w:t>万元，包括人员经费</w:t>
      </w:r>
      <w:r>
        <w:rPr>
          <w:rFonts w:hint="eastAsia"/>
          <w:lang w:val="en-US" w:eastAsia="zh-CN"/>
        </w:rPr>
        <w:t>307.19</w:t>
      </w:r>
      <w:r>
        <w:rPr>
          <w:rFonts w:hint="eastAsia"/>
          <w:lang w:val="en-US" w:eastAsia="uk-UA"/>
        </w:rPr>
        <w:t>万元和日常公用经费</w:t>
      </w:r>
      <w:r>
        <w:rPr>
          <w:rFonts w:hint="eastAsia"/>
          <w:lang w:val="en-US" w:eastAsia="zh-CN"/>
        </w:rPr>
        <w:t>47.21</w:t>
      </w:r>
      <w:r>
        <w:rPr>
          <w:rFonts w:hint="eastAsia"/>
          <w:lang w:val="en-US" w:eastAsia="uk-UA"/>
        </w:rPr>
        <w:t>万元；项目支出</w:t>
      </w:r>
      <w:r>
        <w:rPr>
          <w:rFonts w:hint="eastAsia"/>
          <w:lang w:val="en-US" w:eastAsia="zh-CN"/>
        </w:rPr>
        <w:t>204.66</w:t>
      </w:r>
      <w:r>
        <w:rPr>
          <w:rFonts w:hint="eastAsia"/>
          <w:lang w:val="en-US" w:eastAsia="uk-UA"/>
        </w:rPr>
        <w:t>万元。</w:t>
      </w:r>
    </w:p>
    <w:p>
      <w:pPr>
        <w:pStyle w:val="19"/>
        <w:rPr>
          <w:lang w:val="en-US" w:eastAsia="uk-UA"/>
        </w:rPr>
      </w:pPr>
      <w:r>
        <w:rPr>
          <w:lang w:val="en-US" w:eastAsia="uk-UA"/>
        </w:rPr>
        <w:t>3</w:t>
      </w:r>
      <w:r>
        <w:rPr>
          <w:rFonts w:hint="eastAsia"/>
          <w:lang w:val="en-US" w:eastAsia="uk-UA"/>
        </w:rPr>
        <w:t>、比上年增减情况</w:t>
      </w:r>
    </w:p>
    <w:p>
      <w:pPr>
        <w:pStyle w:val="19"/>
        <w:rPr>
          <w:highlight w:val="none"/>
          <w:lang w:val="en-US" w:eastAsia="uk-UA"/>
        </w:rPr>
      </w:pPr>
      <w:r>
        <w:rPr>
          <w:highlight w:val="none"/>
          <w:lang w:val="en-US" w:eastAsia="uk-UA"/>
        </w:rPr>
        <w:t>2022</w:t>
      </w:r>
      <w:r>
        <w:rPr>
          <w:rFonts w:hint="eastAsia"/>
          <w:highlight w:val="none"/>
          <w:lang w:val="en-US" w:eastAsia="uk-UA"/>
        </w:rPr>
        <w:t>年，</w:t>
      </w:r>
      <w:r>
        <w:rPr>
          <w:rFonts w:hint="eastAsia"/>
          <w:lang w:val="en-US" w:eastAsia="zh-CN"/>
        </w:rPr>
        <w:t>高阳县司法局单位预算</w:t>
      </w:r>
      <w:r>
        <w:rPr>
          <w:rFonts w:hint="eastAsia"/>
          <w:highlight w:val="none"/>
          <w:lang w:val="en-US" w:eastAsia="uk-UA"/>
        </w:rPr>
        <w:t>收支安排</w:t>
      </w:r>
      <w:r>
        <w:rPr>
          <w:rFonts w:hint="eastAsia"/>
          <w:highlight w:val="none"/>
          <w:lang w:val="en-US" w:eastAsia="zh-CN"/>
        </w:rPr>
        <w:t>559.06</w:t>
      </w:r>
      <w:r>
        <w:rPr>
          <w:rFonts w:hint="eastAsia"/>
          <w:highlight w:val="none"/>
          <w:lang w:val="en-US" w:eastAsia="uk-UA"/>
        </w:rPr>
        <w:t>万元，较</w:t>
      </w:r>
      <w:r>
        <w:rPr>
          <w:highlight w:val="none"/>
          <w:lang w:val="en-US" w:eastAsia="uk-UA"/>
        </w:rPr>
        <w:t>20</w:t>
      </w:r>
      <w:r>
        <w:rPr>
          <w:rFonts w:hint="eastAsia"/>
          <w:highlight w:val="none"/>
          <w:lang w:val="en-US" w:eastAsia="uk-UA"/>
        </w:rPr>
        <w:t>21年增加</w:t>
      </w:r>
      <w:r>
        <w:rPr>
          <w:rFonts w:hint="eastAsia"/>
          <w:highlight w:val="none"/>
          <w:lang w:val="en-US" w:eastAsia="zh-CN"/>
        </w:rPr>
        <w:t>181.29</w:t>
      </w:r>
      <w:r>
        <w:rPr>
          <w:rFonts w:hint="eastAsia"/>
          <w:highlight w:val="none"/>
          <w:lang w:val="en-US" w:eastAsia="uk-UA"/>
        </w:rPr>
        <w:t>万元，其中：基本支出</w:t>
      </w:r>
      <w:r>
        <w:rPr>
          <w:rFonts w:hint="eastAsia"/>
          <w:highlight w:val="none"/>
          <w:lang w:val="en-US" w:eastAsia="zh-CN"/>
        </w:rPr>
        <w:t>增加114.12</w:t>
      </w:r>
      <w:r>
        <w:rPr>
          <w:rFonts w:hint="eastAsia"/>
          <w:highlight w:val="none"/>
          <w:lang w:val="en-US" w:eastAsia="uk-UA"/>
        </w:rPr>
        <w:t>万元，主要为</w:t>
      </w:r>
      <w:r>
        <w:rPr>
          <w:rFonts w:hint="eastAsia"/>
          <w:highlight w:val="none"/>
          <w:lang w:val="en-US" w:eastAsia="zh-CN"/>
        </w:rPr>
        <w:t>增加</w:t>
      </w:r>
      <w:r>
        <w:rPr>
          <w:rFonts w:hint="eastAsia"/>
          <w:highlight w:val="none"/>
          <w:lang w:val="en-US" w:eastAsia="uk-UA"/>
        </w:rPr>
        <w:t>人员经费支出；项目支出</w:t>
      </w:r>
      <w:r>
        <w:rPr>
          <w:rFonts w:hint="eastAsia"/>
          <w:highlight w:val="none"/>
          <w:lang w:val="en-US" w:eastAsia="zh-CN"/>
        </w:rPr>
        <w:t>增加67.17</w:t>
      </w:r>
      <w:r>
        <w:rPr>
          <w:rFonts w:hint="eastAsia"/>
          <w:highlight w:val="none"/>
          <w:lang w:val="en-US" w:eastAsia="uk-UA"/>
        </w:rPr>
        <w:t>万元，主要为</w:t>
      </w:r>
      <w:r>
        <w:rPr>
          <w:rFonts w:hint="eastAsia"/>
          <w:highlight w:val="none"/>
          <w:lang w:val="en-US" w:eastAsia="zh-CN"/>
        </w:rPr>
        <w:t>公共法律服务体系建设（劳务派遣）</w:t>
      </w:r>
      <w:r>
        <w:rPr>
          <w:rFonts w:hint="eastAsia"/>
          <w:highlight w:val="none"/>
          <w:lang w:val="en-US" w:eastAsia="uk-UA"/>
        </w:rPr>
        <w:t>资金。</w:t>
      </w:r>
    </w:p>
    <w:p>
      <w:pPr>
        <w:pStyle w:val="19"/>
      </w:pPr>
    </w:p>
    <w:p>
      <w:pPr>
        <w:spacing w:before="10" w:after="10" w:line="360" w:lineRule="auto"/>
        <w:ind w:firstLine="640"/>
        <w:jc w:val="left"/>
        <w:outlineLvl w:val="2"/>
      </w:pPr>
      <w:bookmarkStart w:id="11" w:name="_Toc_3_3_0000000012"/>
      <w:r>
        <w:rPr>
          <w:rFonts w:ascii="黑体" w:eastAsia="黑体" w:cs="黑体"/>
          <w:color w:val="000000"/>
          <w:sz w:val="32"/>
        </w:rPr>
        <w:t>三、机关运行经费安排情况</w:t>
      </w:r>
      <w:bookmarkEnd w:id="11"/>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 xml:space="preserve">2022 </w:t>
      </w:r>
      <w:r>
        <w:rPr>
          <w:rFonts w:hint="eastAsia" w:ascii="宋体" w:hAnsi="宋体" w:eastAsia="宋体" w:cs="宋体"/>
          <w:color w:val="000000"/>
          <w:kern w:val="0"/>
          <w:sz w:val="28"/>
          <w:szCs w:val="28"/>
          <w:lang w:val="en-US" w:eastAsia="zh-CN" w:bidi="ar"/>
        </w:rPr>
        <w:t xml:space="preserve">年，我单位运行经费共计安排 47.21万元，主要用于日常维修、办公用房等日常运行支出。 </w:t>
      </w:r>
    </w:p>
    <w:p>
      <w:pPr>
        <w:pStyle w:val="20"/>
        <w:rPr>
          <w:rFonts w:hint="default" w:eastAsia="方正仿宋_GBK"/>
          <w:lang w:val="en-US" w:eastAsia="zh-CN"/>
        </w:rPr>
      </w:pPr>
    </w:p>
    <w:p>
      <w:pPr>
        <w:spacing w:before="10" w:after="10" w:line="360" w:lineRule="auto"/>
        <w:ind w:firstLine="640"/>
        <w:jc w:val="left"/>
        <w:outlineLvl w:val="2"/>
      </w:pPr>
      <w:bookmarkStart w:id="12" w:name="_Toc_3_3_0000000013"/>
      <w:r>
        <w:rPr>
          <w:rFonts w:ascii="黑体" w:eastAsia="黑体" w:cs="黑体"/>
          <w:color w:val="000000"/>
          <w:sz w:val="32"/>
        </w:rPr>
        <w:t>四、财政拨款“三公”经费预算情况及增减变化原因</w:t>
      </w:r>
      <w:bookmarkEnd w:id="12"/>
    </w:p>
    <w:p>
      <w:pPr>
        <w:keepNext w:val="0"/>
        <w:keepLines w:val="0"/>
        <w:widowControl/>
        <w:suppressLineNumbers w:val="0"/>
        <w:ind w:firstLine="560" w:firstLineChars="200"/>
        <w:jc w:val="left"/>
        <w:rPr>
          <w:rFonts w:hint="default"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 xml:space="preserve">2022 </w:t>
      </w:r>
      <w:r>
        <w:rPr>
          <w:rFonts w:hint="eastAsia" w:ascii="宋体" w:hAnsi="宋体" w:eastAsia="宋体" w:cs="宋体"/>
          <w:color w:val="000000"/>
          <w:kern w:val="0"/>
          <w:sz w:val="28"/>
          <w:szCs w:val="28"/>
          <w:lang w:val="en-US" w:eastAsia="zh-CN" w:bidi="ar"/>
        </w:rPr>
        <w:t>年，我单位财政拨款</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三公</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经费预算安排 6.27</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万元，其中公务用车购置及运维费 6</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万元（其中：公务用车购置费为 </w:t>
      </w:r>
      <w:r>
        <w:rPr>
          <w:rFonts w:hint="default" w:ascii="宋体" w:hAnsi="宋体" w:eastAsia="宋体" w:cs="宋体"/>
          <w:color w:val="000000"/>
          <w:kern w:val="0"/>
          <w:sz w:val="28"/>
          <w:szCs w:val="28"/>
          <w:lang w:val="en-US" w:eastAsia="zh-CN" w:bidi="ar"/>
        </w:rPr>
        <w:t xml:space="preserve">0 </w:t>
      </w:r>
      <w:r>
        <w:rPr>
          <w:rFonts w:hint="eastAsia" w:ascii="宋体" w:hAnsi="宋体" w:eastAsia="宋体" w:cs="宋体"/>
          <w:color w:val="000000"/>
          <w:kern w:val="0"/>
          <w:sz w:val="28"/>
          <w:szCs w:val="28"/>
          <w:lang w:val="en-US" w:eastAsia="zh-CN" w:bidi="ar"/>
        </w:rPr>
        <w:t>万元，公务用车运维费 6 万元</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；公务接待费 0.27</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万元。与 </w:t>
      </w:r>
      <w:r>
        <w:rPr>
          <w:rFonts w:hint="default" w:ascii="宋体" w:hAnsi="宋体" w:eastAsia="宋体" w:cs="宋体"/>
          <w:color w:val="000000"/>
          <w:kern w:val="0"/>
          <w:sz w:val="28"/>
          <w:szCs w:val="28"/>
          <w:lang w:val="en-US" w:eastAsia="zh-CN" w:bidi="ar"/>
        </w:rPr>
        <w:t xml:space="preserve">2021 </w:t>
      </w:r>
      <w:r>
        <w:rPr>
          <w:rFonts w:hint="eastAsia" w:ascii="宋体" w:hAnsi="宋体" w:eastAsia="宋体" w:cs="宋体"/>
          <w:color w:val="000000"/>
          <w:kern w:val="0"/>
          <w:sz w:val="28"/>
          <w:szCs w:val="28"/>
          <w:lang w:val="en-US" w:eastAsia="zh-CN" w:bidi="ar"/>
        </w:rPr>
        <w:t>年相比公务用车购置及运维费减少2万元，公务接待费减少0.02万元，原因为公车报废一辆，公务接待情况减少。</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pPr>
        <w:spacing w:before="10" w:after="10" w:line="360" w:lineRule="auto"/>
        <w:ind w:firstLine="640"/>
        <w:jc w:val="left"/>
        <w:outlineLvl w:val="2"/>
      </w:pPr>
      <w:bookmarkStart w:id="13" w:name="_Toc_3_3_0000000014"/>
      <w:r>
        <w:rPr>
          <w:rFonts w:ascii="黑体" w:eastAsia="黑体" w:cs="黑体"/>
          <w:color w:val="000000"/>
          <w:sz w:val="32"/>
        </w:rPr>
        <w:t>五、预算绩效信息</w:t>
      </w:r>
      <w:bookmarkEnd w:id="13"/>
    </w:p>
    <w:p>
      <w:pPr>
        <w:spacing w:before="0" w:after="0" w:line="240" w:lineRule="auto"/>
        <w:ind w:firstLine="640"/>
        <w:jc w:val="left"/>
        <w:outlineLvl w:val="9"/>
      </w:pPr>
      <w:r>
        <w:rPr>
          <w:rFonts w:ascii="方正楷体_GBK" w:eastAsia="方正楷体_GBK" w:cs="方正楷体_GBK"/>
          <w:b/>
          <w:color w:val="000000"/>
          <w:sz w:val="32"/>
        </w:rPr>
        <w:t xml:space="preserve">第一部分 </w:t>
      </w:r>
      <w:r>
        <w:rPr>
          <w:rFonts w:hint="eastAsia" w:ascii="方正楷体_GBK" w:eastAsia="方正楷体_GBK" w:cs="方正楷体_GBK"/>
          <w:b/>
          <w:color w:val="000000"/>
          <w:sz w:val="32"/>
          <w:lang w:eastAsia="zh-CN"/>
        </w:rPr>
        <w:t>单位</w:t>
      </w:r>
      <w:r>
        <w:rPr>
          <w:rFonts w:ascii="方正楷体_GBK" w:eastAsia="方正楷体_GBK" w:cs="方正楷体_GBK"/>
          <w:b/>
          <w:color w:val="000000"/>
          <w:sz w:val="32"/>
        </w:rPr>
        <w:t>整体绩效目标</w:t>
      </w:r>
    </w:p>
    <w:p>
      <w:pPr>
        <w:spacing w:before="0" w:after="0" w:line="500" w:lineRule="exact"/>
        <w:ind w:firstLine="932" w:firstLineChars="333"/>
        <w:jc w:val="left"/>
        <w:outlineLvl w:val="9"/>
      </w:pPr>
      <w:r>
        <w:rPr>
          <w:rFonts w:ascii="Times New Roman" w:hAnsi="Times New Roman" w:eastAsia="方正仿宋_GBK" w:cs="Times New Roman"/>
          <w:color w:val="000000"/>
          <w:sz w:val="28"/>
        </w:rPr>
        <w:t>一</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总体绩效目标</w:t>
      </w:r>
    </w:p>
    <w:p>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一）总体绩效目标以习近平新时代中国特色社会主义思想为指导，深入贯彻落实全面依法治县工作，在县委、县政府的统一领导下科学谋划工作规划，承担全面依法治县重大问题的政策研究；提出全面依法治县中长期规划建议；负责我县政府规范性文件的备案审查工作；统筹推进高阳县法治政府建设；指导监督县政府各单位依法行政工作；统筹规划全县法治社会建设，组织实施普法宣传工作；推动全县人民参与和促进法治建设；指导全县调解工作；指导全县司法所建设；指导管理全县社会社区矫正工作；指导管理全县刑满释放人员帮教安置工作；指导管理全县公共法律服务体系建设工作。 </w:t>
      </w:r>
    </w:p>
    <w:p>
      <w:pPr>
        <w:keepNext w:val="0"/>
        <w:keepLines w:val="0"/>
        <w:widowControl/>
        <w:suppressLineNumbers w:val="0"/>
        <w:ind w:firstLine="840" w:firstLineChars="3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二、分项绩效目标 </w:t>
      </w:r>
    </w:p>
    <w:p>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（一）法律援助 </w:t>
      </w:r>
    </w:p>
    <w:p>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绩效目标：法律援助办案数量 、法律援助案件结案率、受援群众投诉率。 </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绩效指标：法律援助办案数量</w:t>
      </w:r>
      <w:r>
        <w:t>≥40个</w:t>
      </w:r>
      <w:r>
        <w:rPr>
          <w:rFonts w:hint="eastAsia" w:eastAsia="宋体"/>
          <w:lang w:eastAsia="zh-CN"/>
        </w:rPr>
        <w:t>，</w:t>
      </w:r>
      <w:r>
        <w:t>印刷法律援助宣传资料≥900册</w:t>
      </w:r>
      <w:r>
        <w:rPr>
          <w:rFonts w:hint="eastAsia" w:eastAsia="宋体"/>
          <w:lang w:eastAsia="zh-CN"/>
        </w:rPr>
        <w:t>，</w:t>
      </w:r>
      <w:r>
        <w:t>案件处理办结率≥97百分比</w:t>
      </w:r>
      <w:r>
        <w:rPr>
          <w:rFonts w:hint="eastAsia" w:eastAsia="宋体"/>
          <w:lang w:eastAsia="zh-CN"/>
        </w:rPr>
        <w:t>，</w:t>
      </w:r>
      <w:r>
        <w:t>预算执行率≥90百分比</w:t>
      </w:r>
    </w:p>
    <w:p>
      <w:pPr>
        <w:keepNext w:val="0"/>
        <w:keepLines w:val="0"/>
        <w:widowControl/>
        <w:suppressLineNumbers w:val="0"/>
        <w:jc w:val="left"/>
      </w:pPr>
      <w:r>
        <w:rPr>
          <w:rFonts w:hint="eastAsia" w:eastAsia="宋体" w:cs="Times New Roman"/>
          <w:color w:val="000000"/>
          <w:kern w:val="0"/>
          <w:sz w:val="24"/>
          <w:szCs w:val="24"/>
          <w:lang w:val="en-US" w:eastAsia="zh-CN" w:bidi="ar"/>
        </w:rPr>
        <w:t xml:space="preserve">         </w:t>
      </w:r>
      <w:r>
        <w:rPr>
          <w:rFonts w:hint="eastAsia" w:ascii="宋体" w:hAnsi="宋体" w:eastAsia="宋体" w:cs="宋体"/>
          <w:color w:val="000000"/>
          <w:kern w:val="0"/>
          <w:sz w:val="28"/>
          <w:szCs w:val="28"/>
          <w:lang w:val="en-US" w:eastAsia="zh-CN" w:bidi="ar"/>
        </w:rPr>
        <w:t>（二）法制宣传教育</w:t>
      </w:r>
    </w:p>
    <w:p>
      <w:pPr>
        <w:pStyle w:val="13"/>
        <w:ind w:firstLine="560" w:firstLineChars="2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绩效目标：落实“七五”普法规划各项工作、开展“12.4”国家宪法日主题宣传活动、推动全县法制宣传教育</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绩效指标：组织主题宣传活动场次≥23场、督导检查次数≥1次、宣传资料印刷册数≥1800册、资金成本≥80百分比</w:t>
      </w:r>
    </w:p>
    <w:p>
      <w:pPr>
        <w:keepNext w:val="0"/>
        <w:keepLines w:val="0"/>
        <w:widowControl/>
        <w:suppressLineNumbers w:val="0"/>
        <w:ind w:firstLine="480" w:firstLineChars="200"/>
        <w:jc w:val="left"/>
      </w:pPr>
    </w:p>
    <w:p>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（三）社区矫正 </w:t>
      </w:r>
    </w:p>
    <w:p>
      <w:pPr>
        <w:pStyle w:val="13"/>
        <w:ind w:firstLine="560" w:firstLineChars="200"/>
      </w:pPr>
      <w:r>
        <w:rPr>
          <w:rFonts w:hint="eastAsia" w:ascii="宋体" w:hAnsi="宋体" w:eastAsia="宋体" w:cs="宋体"/>
          <w:color w:val="000000"/>
          <w:kern w:val="0"/>
          <w:sz w:val="28"/>
          <w:szCs w:val="28"/>
          <w:lang w:val="en-US" w:eastAsia="zh-CN" w:bidi="ar"/>
        </w:rPr>
        <w:t>绩效目标：深化社区矫正工作、最大限度降低重新违法犯罪和社会不稳定因素发生率</w:t>
      </w:r>
    </w:p>
    <w:p>
      <w:pPr>
        <w:spacing w:before="0" w:after="0" w:line="500" w:lineRule="exact"/>
        <w:ind w:firstLine="932" w:firstLineChars="333"/>
        <w:jc w:val="left"/>
        <w:outlineLvl w:val="9"/>
        <w:rPr>
          <w:rFonts w:ascii="Times New Roman" w:hAnsi="Times New Roman" w:eastAsia="方正仿宋_GBK" w:cs="Times New Roman"/>
          <w:color w:val="000000"/>
          <w:sz w:val="28"/>
        </w:rPr>
      </w:pPr>
    </w:p>
    <w:p>
      <w:pPr>
        <w:spacing w:before="0" w:after="0" w:line="500" w:lineRule="exact"/>
        <w:ind w:firstLine="840" w:firstLineChars="300"/>
        <w:jc w:val="left"/>
        <w:outlineLvl w:val="9"/>
      </w:pPr>
      <w:r>
        <w:rPr>
          <w:rFonts w:ascii="Times New Roman" w:hAnsi="Times New Roman" w:eastAsia="方正仿宋_GBK" w:cs="Times New Roman"/>
          <w:color w:val="000000"/>
          <w:sz w:val="28"/>
        </w:rPr>
        <w:t>三</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工作保障措施</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一</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完善行政复议审理方式。一是重实地调查。对重大复杂案件，办案人员要做到深入基层、深入群众、深入现场，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召开座谈会，面对面的了解情况，做好沟通解释工作。有效提升案件办理质量，重调解和解。将调解和解贯穿复议案件办理全过程，促进矛盾纠纷的根本解决。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二</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加快复议信息化建设。认真落实司法部、司法厅</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数字法治、智慧司法</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要求，强化信息化软硬件建设，积极推广 使用全国行政复议工作平台，切实提高各级复议机构对复议平台的重视程度，明确任务时限和填报工作要求，做好复议 平台应用工作。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三</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强化复议和应诉人员培训。在做好常规培训的同时，创新培训方式，将业务培训与日常工作紧密结合，在案件沟通、现场调查、督导检查的过程中，通过</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面对面</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讲解、现场办公、以案释法方式灵活开展培训合，同时，创新培训方式，充分利用省网络培训平台优质资源，开展网络课堂培训工作。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四</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加大法律援助宣传力度。做到常态化宣传与主题宣传相结合，提高法律援助知晓率，努力增加办案数质量。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五</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提高办案效率。严格执行法律援助办案程序与规则，积极与公检法各机关沟通，争取结案率稳步提升。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分数核查、资格申请受理初审、证书发放等各个阶段工作，确保全程服务质量。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六</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利用重要时间节点开展普法宣传。充分利用节假日、纪念日以及法律法规颁布实施日，组织开展主题普法宣传活动，制作宣传资料、宣传品等。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七</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加强监管力度，提高矫正质量。加大社区矫正工作的宣传力度，提高社区矫正工作的认知。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八</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规范资金使用，完善内控制度。严格按照相关资金管理规定，办理法律顾问的薪酬发放，在资金使用过程中建立严格的授权、审批、签字等手续，确保专项资金规范使用。做到专款专用，不存在挪用、截留、滞留，和违规使用。强内部监管，规范资金使用。对专项资金使用情况服务指导、检查监督、考核验收工作，利用信息技术提高监管效率和 水平，及时发现资金使用中不规范问题，杜绝管理上存在的漏洞，确保实现专项资金的预期绩效目标。</w:t>
      </w:r>
    </w:p>
    <w:p>
      <w:pPr>
        <w:pStyle w:val="24"/>
      </w:pPr>
    </w:p>
    <w:p>
      <w:pPr>
        <w:numPr>
          <w:ilvl w:val="0"/>
          <w:numId w:val="1"/>
        </w:numPr>
        <w:spacing w:before="0" w:after="0" w:line="240" w:lineRule="auto"/>
        <w:ind w:firstLine="640"/>
        <w:jc w:val="left"/>
        <w:outlineLvl w:val="9"/>
        <w:rPr>
          <w:rFonts w:ascii="方正楷体_GBK" w:eastAsia="方正楷体_GBK" w:cs="方正楷体_GBK"/>
          <w:b/>
          <w:color w:val="000000"/>
          <w:sz w:val="32"/>
        </w:rPr>
      </w:pPr>
      <w:r>
        <w:rPr>
          <w:rFonts w:ascii="方正楷体_GBK" w:eastAsia="方正楷体_GBK" w:cs="方正楷体_GBK"/>
          <w:b/>
          <w:color w:val="000000"/>
          <w:sz w:val="32"/>
        </w:rPr>
        <w:t xml:space="preserve"> 专项资金绩效目标</w:t>
      </w:r>
    </w:p>
    <w:p>
      <w:pPr>
        <w:numPr>
          <w:ilvl w:val="0"/>
          <w:numId w:val="0"/>
        </w:numPr>
        <w:spacing w:before="0" w:after="0" w:line="240" w:lineRule="auto"/>
        <w:jc w:val="left"/>
        <w:outlineLvl w:val="9"/>
        <w:rPr>
          <w:rFonts w:ascii="方正楷体_GBK" w:eastAsia="方正楷体_GBK" w:cs="方正楷体_GBK"/>
          <w:b/>
          <w:color w:val="000000"/>
          <w:sz w:val="32"/>
        </w:rPr>
      </w:pPr>
    </w:p>
    <w:p>
      <w:pPr>
        <w:numPr>
          <w:ilvl w:val="0"/>
          <w:numId w:val="0"/>
        </w:numPr>
        <w:spacing w:before="0" w:after="0" w:line="240" w:lineRule="auto"/>
        <w:jc w:val="left"/>
        <w:outlineLvl w:val="9"/>
        <w:rPr>
          <w:rFonts w:ascii="方正楷体_GBK" w:eastAsia="方正楷体_GBK" w:cs="方正楷体_GBK"/>
          <w:b/>
          <w:color w:val="000000"/>
          <w:sz w:val="32"/>
        </w:rPr>
      </w:pPr>
    </w:p>
    <w:p>
      <w:pPr>
        <w:numPr>
          <w:ilvl w:val="0"/>
          <w:numId w:val="0"/>
        </w:numPr>
        <w:spacing w:before="0" w:after="0" w:line="240" w:lineRule="auto"/>
        <w:ind w:firstLine="643" w:firstLineChars="200"/>
        <w:jc w:val="left"/>
        <w:outlineLvl w:val="9"/>
        <w:rPr>
          <w:rFonts w:hint="eastAsia" w:ascii="方正楷体_GBK" w:eastAsia="方正楷体_GBK" w:cs="方正楷体_GBK"/>
          <w:b/>
          <w:color w:val="000000"/>
          <w:sz w:val="32"/>
          <w:lang w:val="en-US" w:eastAsia="zh-CN"/>
        </w:rPr>
        <w:sectPr>
          <w:pgSz w:w="16840" w:h="11900" w:orient="landscape"/>
          <w:pgMar w:top="1361" w:right="1020" w:bottom="1361" w:left="1020" w:header="720" w:footer="720" w:gutter="0"/>
          <w:cols w:space="720" w:num="1"/>
          <w:docGrid w:linePitch="326" w:charSpace="0"/>
        </w:sectPr>
      </w:pPr>
      <w:r>
        <w:rPr>
          <w:rFonts w:hint="eastAsia" w:ascii="方正楷体_GBK" w:eastAsia="方正楷体_GBK" w:cs="方正楷体_GBK"/>
          <w:b/>
          <w:color w:val="000000"/>
          <w:sz w:val="32"/>
          <w:lang w:val="en-US" w:eastAsia="zh-CN"/>
        </w:rPr>
        <w:t>无</w:t>
      </w:r>
    </w:p>
    <w:p>
      <w:pPr>
        <w:spacing w:before="0" w:after="0" w:line="240" w:lineRule="auto"/>
        <w:ind w:firstLine="640"/>
        <w:jc w:val="left"/>
        <w:outlineLvl w:val="9"/>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pPr>
        <w:spacing w:before="0" w:after="0"/>
        <w:jc w:val="left"/>
        <w:outlineLvl w:val="9"/>
      </w:pPr>
      <w:r>
        <w:rPr>
          <w:rFonts w:ascii="方正仿宋_GBK" w:eastAsia="方正仿宋_GBK" w:cs="方正仿宋_GBK"/>
          <w:b/>
          <w:color w:val="000000"/>
          <w:sz w:val="28"/>
        </w:rPr>
        <w:t>1、2021年中央政法转移支付资金（法律援助）-冀财政法[2021]32号绩效目标表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1.推动全县法制宣传教育</w:t>
            </w:r>
          </w:p>
          <w:p>
            <w:pPr>
              <w:pStyle w:val="13"/>
            </w:pPr>
            <w:r>
              <w:t>2.扩大民事、行政法律援助范围</w:t>
            </w:r>
          </w:p>
          <w:p>
            <w:pPr>
              <w:pStyle w:val="13"/>
            </w:pPr>
            <w:r>
              <w:t>3.大力加强刑事法律援助工作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2835" w:type="dxa"/>
            <w:vAlign w:val="center"/>
          </w:tcPr>
          <w:p>
            <w:pPr>
              <w:pStyle w:val="13"/>
            </w:pPr>
            <w:r>
              <w:t>法律援助案件受理数</w:t>
            </w:r>
          </w:p>
        </w:tc>
        <w:tc>
          <w:tcPr>
            <w:tcW w:w="2551" w:type="dxa"/>
            <w:vAlign w:val="center"/>
          </w:tcPr>
          <w:p>
            <w:pPr>
              <w:pStyle w:val="13"/>
            </w:pPr>
            <w:r>
              <w:t>≥40个</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2835" w:type="dxa"/>
            <w:vAlign w:val="center"/>
          </w:tcPr>
          <w:p>
            <w:pPr>
              <w:pStyle w:val="13"/>
            </w:pPr>
            <w:r>
              <w:t>印刷法律援助宣传资料</w:t>
            </w:r>
          </w:p>
        </w:tc>
        <w:tc>
          <w:tcPr>
            <w:tcW w:w="2551" w:type="dxa"/>
            <w:vAlign w:val="center"/>
          </w:tcPr>
          <w:p>
            <w:pPr>
              <w:pStyle w:val="13"/>
            </w:pPr>
            <w:r>
              <w:t>≥900册</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时效指标</w:t>
            </w:r>
          </w:p>
        </w:tc>
        <w:tc>
          <w:tcPr>
            <w:tcW w:w="2835" w:type="dxa"/>
            <w:vAlign w:val="center"/>
          </w:tcPr>
          <w:p>
            <w:pPr>
              <w:pStyle w:val="13"/>
            </w:pPr>
            <w:r>
              <w:t>案件处理办结率</w:t>
            </w:r>
          </w:p>
        </w:tc>
        <w:tc>
          <w:tcPr>
            <w:tcW w:w="2551" w:type="dxa"/>
            <w:vAlign w:val="center"/>
          </w:tcPr>
          <w:p>
            <w:pPr>
              <w:pStyle w:val="13"/>
            </w:pPr>
            <w:r>
              <w:t>≥97百分比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成本指标</w:t>
            </w:r>
          </w:p>
        </w:tc>
        <w:tc>
          <w:tcPr>
            <w:tcW w:w="2835" w:type="dxa"/>
            <w:vAlign w:val="center"/>
          </w:tcPr>
          <w:p>
            <w:pPr>
              <w:pStyle w:val="13"/>
            </w:pPr>
            <w:r>
              <w:t>预算执行率</w:t>
            </w:r>
          </w:p>
        </w:tc>
        <w:tc>
          <w:tcPr>
            <w:tcW w:w="2551" w:type="dxa"/>
            <w:vAlign w:val="center"/>
          </w:tcPr>
          <w:p>
            <w:pPr>
              <w:pStyle w:val="13"/>
            </w:pPr>
            <w:r>
              <w:t>≥90百分比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2835" w:type="dxa"/>
            <w:vAlign w:val="center"/>
          </w:tcPr>
          <w:p>
            <w:pPr>
              <w:pStyle w:val="13"/>
            </w:pPr>
            <w:r>
              <w:t>以实现利润为主要挂钩指标</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2835" w:type="dxa"/>
            <w:vAlign w:val="center"/>
          </w:tcPr>
          <w:p>
            <w:pPr>
              <w:pStyle w:val="13"/>
            </w:pPr>
            <w:r>
              <w:t>在全国或全省产生的重要影响，得到广大受众的充分认可。</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2835" w:type="dxa"/>
            <w:vAlign w:val="center"/>
          </w:tcPr>
          <w:p>
            <w:pPr>
              <w:pStyle w:val="13"/>
            </w:pPr>
            <w:r>
              <w:t>提供法律援助数量（宗）</w:t>
            </w:r>
          </w:p>
        </w:tc>
        <w:tc>
          <w:tcPr>
            <w:tcW w:w="2551" w:type="dxa"/>
            <w:vAlign w:val="center"/>
          </w:tcPr>
          <w:p>
            <w:pPr>
              <w:pStyle w:val="13"/>
            </w:pPr>
            <w:r>
              <w:t>≥40个</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法律援助对象满意度指标</w:t>
            </w:r>
          </w:p>
        </w:tc>
        <w:tc>
          <w:tcPr>
            <w:tcW w:w="2551" w:type="dxa"/>
            <w:vAlign w:val="center"/>
          </w:tcPr>
          <w:p>
            <w:pPr>
              <w:pStyle w:val="13"/>
            </w:pPr>
            <w:r>
              <w:t>≥100百分比</w:t>
            </w:r>
          </w:p>
        </w:tc>
        <w:tc>
          <w:tcPr>
            <w:tcW w:w="2268" w:type="dxa"/>
            <w:vAlign w:val="center"/>
          </w:tcPr>
          <w:p>
            <w:pPr>
              <w:pStyle w:val="13"/>
            </w:pPr>
            <w:r>
              <w:t>《关于进一步完善法律援助制度切实加强法律援助工作的实施意见》的通知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2、冀财政法[2021]62号提前下达2022年中央政法纪检监察转移支付资金绩效目标表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1.扩大法律援助覆盖面</w:t>
            </w:r>
          </w:p>
          <w:p>
            <w:pPr>
              <w:pStyle w:val="13"/>
            </w:pPr>
            <w:r>
              <w:t>2.扩大民事、行政法律援助范围</w:t>
            </w:r>
          </w:p>
          <w:p>
            <w:pPr>
              <w:pStyle w:val="13"/>
            </w:pPr>
            <w:r>
              <w:t>3.大力加强刑事法律援助工作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2835" w:type="dxa"/>
            <w:vAlign w:val="center"/>
          </w:tcPr>
          <w:p>
            <w:pPr>
              <w:pStyle w:val="13"/>
            </w:pPr>
            <w:r>
              <w:t>法律援助案件受理数</w:t>
            </w:r>
          </w:p>
        </w:tc>
        <w:tc>
          <w:tcPr>
            <w:tcW w:w="2551" w:type="dxa"/>
            <w:vAlign w:val="center"/>
          </w:tcPr>
          <w:p>
            <w:pPr>
              <w:pStyle w:val="13"/>
            </w:pPr>
            <w:r>
              <w:t>≥40个</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2835" w:type="dxa"/>
            <w:vAlign w:val="center"/>
          </w:tcPr>
          <w:p>
            <w:pPr>
              <w:pStyle w:val="13"/>
            </w:pPr>
            <w:r>
              <w:t>印刷法律援助宣传资料</w:t>
            </w:r>
          </w:p>
        </w:tc>
        <w:tc>
          <w:tcPr>
            <w:tcW w:w="2551" w:type="dxa"/>
            <w:vAlign w:val="center"/>
          </w:tcPr>
          <w:p>
            <w:pPr>
              <w:pStyle w:val="13"/>
            </w:pPr>
            <w:r>
              <w:t>≥900册</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时效指标</w:t>
            </w:r>
          </w:p>
        </w:tc>
        <w:tc>
          <w:tcPr>
            <w:tcW w:w="2835" w:type="dxa"/>
            <w:vAlign w:val="center"/>
          </w:tcPr>
          <w:p>
            <w:pPr>
              <w:pStyle w:val="13"/>
            </w:pPr>
            <w:r>
              <w:t>案件处理办结率</w:t>
            </w:r>
          </w:p>
        </w:tc>
        <w:tc>
          <w:tcPr>
            <w:tcW w:w="2551" w:type="dxa"/>
            <w:vAlign w:val="center"/>
          </w:tcPr>
          <w:p>
            <w:pPr>
              <w:pStyle w:val="13"/>
            </w:pPr>
            <w:r>
              <w:t>≥97百分比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成本指标</w:t>
            </w:r>
          </w:p>
        </w:tc>
        <w:tc>
          <w:tcPr>
            <w:tcW w:w="2835" w:type="dxa"/>
            <w:vAlign w:val="center"/>
          </w:tcPr>
          <w:p>
            <w:pPr>
              <w:pStyle w:val="13"/>
            </w:pPr>
            <w:r>
              <w:t>预算执行率</w:t>
            </w:r>
          </w:p>
        </w:tc>
        <w:tc>
          <w:tcPr>
            <w:tcW w:w="2551" w:type="dxa"/>
            <w:vAlign w:val="center"/>
          </w:tcPr>
          <w:p>
            <w:pPr>
              <w:pStyle w:val="13"/>
            </w:pPr>
            <w:r>
              <w:t>≥90百分比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2835" w:type="dxa"/>
            <w:vAlign w:val="center"/>
          </w:tcPr>
          <w:p>
            <w:pPr>
              <w:pStyle w:val="13"/>
            </w:pPr>
            <w:r>
              <w:t>以实现利润为主要挂钩指标</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2835" w:type="dxa"/>
            <w:vAlign w:val="center"/>
          </w:tcPr>
          <w:p>
            <w:pPr>
              <w:pStyle w:val="13"/>
            </w:pPr>
            <w:r>
              <w:t>在全国或全省产生的重要影响，得到广大受众的充分认可。</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2835" w:type="dxa"/>
            <w:vAlign w:val="center"/>
          </w:tcPr>
          <w:p>
            <w:pPr>
              <w:pStyle w:val="13"/>
            </w:pPr>
            <w:r>
              <w:t>提供法律援助数量（宗）</w:t>
            </w:r>
          </w:p>
        </w:tc>
        <w:tc>
          <w:tcPr>
            <w:tcW w:w="2551" w:type="dxa"/>
            <w:vAlign w:val="center"/>
          </w:tcPr>
          <w:p>
            <w:pPr>
              <w:pStyle w:val="13"/>
            </w:pPr>
            <w:r>
              <w:t>≥40个</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法律援助对象满意度指标</w:t>
            </w:r>
          </w:p>
        </w:tc>
        <w:tc>
          <w:tcPr>
            <w:tcW w:w="2551" w:type="dxa"/>
            <w:vAlign w:val="center"/>
          </w:tcPr>
          <w:p>
            <w:pPr>
              <w:pStyle w:val="13"/>
            </w:pPr>
            <w:r>
              <w:t>≥100百分比</w:t>
            </w:r>
          </w:p>
        </w:tc>
        <w:tc>
          <w:tcPr>
            <w:tcW w:w="2268" w:type="dxa"/>
            <w:vAlign w:val="center"/>
          </w:tcPr>
          <w:p>
            <w:pPr>
              <w:pStyle w:val="13"/>
            </w:pPr>
            <w:r>
              <w:t>《关于进一步完善法律援助制度切实加强法律援助工作的实施意见》的通知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3、冀财政法[2021]63号提前下达2022年省级公检法司转移支付资金绩效目标表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1.扩大法律援助覆盖面</w:t>
            </w:r>
            <w:r>
              <w:tab/>
            </w:r>
            <w:r>
              <w:tab/>
            </w:r>
            <w:r>
              <w:tab/>
            </w:r>
            <w:r>
              <w:tab/>
            </w:r>
            <w:r>
              <w:tab/>
            </w:r>
            <w:r>
              <w:tab/>
            </w:r>
          </w:p>
          <w:p>
            <w:pPr>
              <w:pStyle w:val="13"/>
            </w:pPr>
          </w:p>
          <w:p>
            <w:pPr>
              <w:pStyle w:val="13"/>
            </w:pPr>
            <w:r>
              <w:t>2.推动全县法律援助工作长足发展</w:t>
            </w:r>
          </w:p>
          <w:p>
            <w:pPr>
              <w:pStyle w:val="13"/>
            </w:pPr>
            <w:r>
              <w:t>3.大力加强刑事法律援助工作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法律援助案件受理数</w:t>
            </w:r>
          </w:p>
        </w:tc>
        <w:tc>
          <w:tcPr>
            <w:tcW w:w="2835" w:type="dxa"/>
            <w:vAlign w:val="center"/>
          </w:tcPr>
          <w:p>
            <w:pPr>
              <w:pStyle w:val="13"/>
            </w:pPr>
            <w:r>
              <w:t>法律援助案件受理数</w:t>
            </w:r>
          </w:p>
        </w:tc>
        <w:tc>
          <w:tcPr>
            <w:tcW w:w="2551" w:type="dxa"/>
            <w:vAlign w:val="center"/>
          </w:tcPr>
          <w:p>
            <w:pPr>
              <w:pStyle w:val="13"/>
            </w:pPr>
            <w:r>
              <w:t>≥40个</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印刷法律援助宣传资料</w:t>
            </w:r>
          </w:p>
        </w:tc>
        <w:tc>
          <w:tcPr>
            <w:tcW w:w="2835" w:type="dxa"/>
            <w:vAlign w:val="center"/>
          </w:tcPr>
          <w:p>
            <w:pPr>
              <w:pStyle w:val="13"/>
            </w:pPr>
            <w:r>
              <w:t>印刷法律援助宣传资料</w:t>
            </w:r>
          </w:p>
        </w:tc>
        <w:tc>
          <w:tcPr>
            <w:tcW w:w="2551" w:type="dxa"/>
            <w:vAlign w:val="center"/>
          </w:tcPr>
          <w:p>
            <w:pPr>
              <w:pStyle w:val="13"/>
            </w:pPr>
            <w:r>
              <w:t>≥900册</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案件处理办结率</w:t>
            </w:r>
          </w:p>
        </w:tc>
        <w:tc>
          <w:tcPr>
            <w:tcW w:w="2835" w:type="dxa"/>
            <w:vAlign w:val="center"/>
          </w:tcPr>
          <w:p>
            <w:pPr>
              <w:pStyle w:val="13"/>
            </w:pPr>
            <w:r>
              <w:t>案件处理办结率</w:t>
            </w:r>
          </w:p>
        </w:tc>
        <w:tc>
          <w:tcPr>
            <w:tcW w:w="2551" w:type="dxa"/>
            <w:vAlign w:val="center"/>
          </w:tcPr>
          <w:p>
            <w:pPr>
              <w:pStyle w:val="13"/>
            </w:pPr>
            <w:r>
              <w:t>≥97百分比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预算执行率</w:t>
            </w:r>
          </w:p>
        </w:tc>
        <w:tc>
          <w:tcPr>
            <w:tcW w:w="2835" w:type="dxa"/>
            <w:vAlign w:val="center"/>
          </w:tcPr>
          <w:p>
            <w:pPr>
              <w:pStyle w:val="13"/>
            </w:pPr>
            <w:r>
              <w:t>预算执行率</w:t>
            </w:r>
          </w:p>
        </w:tc>
        <w:tc>
          <w:tcPr>
            <w:tcW w:w="2551" w:type="dxa"/>
            <w:vAlign w:val="center"/>
          </w:tcPr>
          <w:p>
            <w:pPr>
              <w:pStyle w:val="13"/>
            </w:pPr>
            <w:r>
              <w:t>≥90百分比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以实现利润为主要挂钩指标</w:t>
            </w:r>
          </w:p>
        </w:tc>
        <w:tc>
          <w:tcPr>
            <w:tcW w:w="2835" w:type="dxa"/>
            <w:vAlign w:val="center"/>
          </w:tcPr>
          <w:p>
            <w:pPr>
              <w:pStyle w:val="13"/>
            </w:pPr>
            <w:r>
              <w:t>以实现利润为主要挂钩指标</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在全国或全省产生的重要影响，得到广大受众的充分认可。</w:t>
            </w:r>
          </w:p>
        </w:tc>
        <w:tc>
          <w:tcPr>
            <w:tcW w:w="2835" w:type="dxa"/>
            <w:vAlign w:val="center"/>
          </w:tcPr>
          <w:p>
            <w:pPr>
              <w:pStyle w:val="13"/>
            </w:pPr>
            <w:r>
              <w:t>在全国或全省产生的重要影响，得到广大受众的充分认可。</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提供法律援助数量（宗）</w:t>
            </w:r>
          </w:p>
        </w:tc>
        <w:tc>
          <w:tcPr>
            <w:tcW w:w="2835" w:type="dxa"/>
            <w:vAlign w:val="center"/>
          </w:tcPr>
          <w:p>
            <w:pPr>
              <w:pStyle w:val="13"/>
            </w:pPr>
            <w:r>
              <w:t>提供法律援助数量（宗）</w:t>
            </w:r>
          </w:p>
        </w:tc>
        <w:tc>
          <w:tcPr>
            <w:tcW w:w="2551" w:type="dxa"/>
            <w:vAlign w:val="center"/>
          </w:tcPr>
          <w:p>
            <w:pPr>
              <w:pStyle w:val="13"/>
            </w:pPr>
            <w:r>
              <w:t>≥40个</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法律援助案件办结率</w:t>
            </w:r>
          </w:p>
        </w:tc>
        <w:tc>
          <w:tcPr>
            <w:tcW w:w="2835" w:type="dxa"/>
            <w:vAlign w:val="center"/>
          </w:tcPr>
          <w:p>
            <w:pPr>
              <w:pStyle w:val="13"/>
            </w:pPr>
            <w:r>
              <w:t>法律援助案件办结率</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法律援助对象满意度指标</w:t>
            </w:r>
          </w:p>
        </w:tc>
        <w:tc>
          <w:tcPr>
            <w:tcW w:w="2835" w:type="dxa"/>
            <w:vAlign w:val="center"/>
          </w:tcPr>
          <w:p>
            <w:pPr>
              <w:pStyle w:val="13"/>
            </w:pPr>
            <w:r>
              <w:t>法律援助对象满意度指标</w:t>
            </w:r>
          </w:p>
        </w:tc>
        <w:tc>
          <w:tcPr>
            <w:tcW w:w="2551" w:type="dxa"/>
            <w:vAlign w:val="center"/>
          </w:tcPr>
          <w:p>
            <w:pPr>
              <w:pStyle w:val="13"/>
            </w:pPr>
            <w:r>
              <w:t>≥90百分比</w:t>
            </w:r>
          </w:p>
        </w:tc>
        <w:tc>
          <w:tcPr>
            <w:tcW w:w="2268" w:type="dxa"/>
            <w:vAlign w:val="center"/>
          </w:tcPr>
          <w:p>
            <w:pPr>
              <w:pStyle w:val="13"/>
            </w:pPr>
            <w:r>
              <w:t>《关于进一步完善法律援助制度切实加强法律援助工作的实施意见》的通知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4、司法局法律援助经费绩效目标表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1.扩大法律援助覆盖面</w:t>
            </w:r>
          </w:p>
          <w:p>
            <w:pPr>
              <w:pStyle w:val="13"/>
            </w:pPr>
            <w:r>
              <w:t>2.扩大民事、行政法律援助范围</w:t>
            </w:r>
          </w:p>
          <w:p>
            <w:pPr>
              <w:pStyle w:val="13"/>
            </w:pPr>
            <w:r>
              <w:t>3.大力加强刑事法律援助工作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2835" w:type="dxa"/>
            <w:vAlign w:val="center"/>
          </w:tcPr>
          <w:p>
            <w:pPr>
              <w:pStyle w:val="13"/>
            </w:pPr>
            <w:r>
              <w:t>法律援助案件受理数</w:t>
            </w:r>
          </w:p>
        </w:tc>
        <w:tc>
          <w:tcPr>
            <w:tcW w:w="2551" w:type="dxa"/>
            <w:vAlign w:val="center"/>
          </w:tcPr>
          <w:p>
            <w:pPr>
              <w:pStyle w:val="13"/>
            </w:pPr>
            <w:r>
              <w:t>≥40个</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2835" w:type="dxa"/>
            <w:vAlign w:val="center"/>
          </w:tcPr>
          <w:p>
            <w:pPr>
              <w:pStyle w:val="13"/>
            </w:pPr>
            <w:r>
              <w:t>印刷法律援助宣传资料</w:t>
            </w:r>
          </w:p>
        </w:tc>
        <w:tc>
          <w:tcPr>
            <w:tcW w:w="2551" w:type="dxa"/>
            <w:vAlign w:val="center"/>
          </w:tcPr>
          <w:p>
            <w:pPr>
              <w:pStyle w:val="13"/>
            </w:pPr>
            <w:r>
              <w:t>≥900册</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时效指标</w:t>
            </w:r>
          </w:p>
        </w:tc>
        <w:tc>
          <w:tcPr>
            <w:tcW w:w="2835" w:type="dxa"/>
            <w:vAlign w:val="center"/>
          </w:tcPr>
          <w:p>
            <w:pPr>
              <w:pStyle w:val="13"/>
            </w:pPr>
            <w:r>
              <w:t>案件处理办结率</w:t>
            </w:r>
          </w:p>
        </w:tc>
        <w:tc>
          <w:tcPr>
            <w:tcW w:w="2551" w:type="dxa"/>
            <w:vAlign w:val="center"/>
          </w:tcPr>
          <w:p>
            <w:pPr>
              <w:pStyle w:val="13"/>
            </w:pPr>
            <w:r>
              <w:t>≥97百分比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成本指标</w:t>
            </w:r>
          </w:p>
        </w:tc>
        <w:tc>
          <w:tcPr>
            <w:tcW w:w="2835" w:type="dxa"/>
            <w:vAlign w:val="center"/>
          </w:tcPr>
          <w:p>
            <w:pPr>
              <w:pStyle w:val="13"/>
            </w:pPr>
            <w:r>
              <w:t>预算执行率</w:t>
            </w:r>
          </w:p>
        </w:tc>
        <w:tc>
          <w:tcPr>
            <w:tcW w:w="2551" w:type="dxa"/>
            <w:vAlign w:val="center"/>
          </w:tcPr>
          <w:p>
            <w:pPr>
              <w:pStyle w:val="13"/>
            </w:pPr>
            <w:r>
              <w:t>≥90百分比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2835" w:type="dxa"/>
            <w:vAlign w:val="center"/>
          </w:tcPr>
          <w:p>
            <w:pPr>
              <w:pStyle w:val="13"/>
            </w:pPr>
            <w:r>
              <w:t>以实现利润为主要挂钩指标</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2835" w:type="dxa"/>
            <w:vAlign w:val="center"/>
          </w:tcPr>
          <w:p>
            <w:pPr>
              <w:pStyle w:val="13"/>
            </w:pPr>
            <w:r>
              <w:t>在全国或全省产生的重要影响，得到广大受众的充分认可。</w:t>
            </w:r>
          </w:p>
        </w:tc>
        <w:tc>
          <w:tcPr>
            <w:tcW w:w="2551" w:type="dxa"/>
            <w:vAlign w:val="center"/>
          </w:tcPr>
          <w:p>
            <w:pPr>
              <w:pStyle w:val="13"/>
            </w:pPr>
            <w:r>
              <w:t>≥80百分比</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2835" w:type="dxa"/>
            <w:vAlign w:val="center"/>
          </w:tcPr>
          <w:p>
            <w:pPr>
              <w:pStyle w:val="13"/>
            </w:pPr>
            <w:r>
              <w:t>提供法律援助数量（宗）</w:t>
            </w:r>
          </w:p>
        </w:tc>
        <w:tc>
          <w:tcPr>
            <w:tcW w:w="2551" w:type="dxa"/>
            <w:vAlign w:val="center"/>
          </w:tcPr>
          <w:p>
            <w:pPr>
              <w:pStyle w:val="13"/>
            </w:pPr>
            <w:r>
              <w:t>≥40个</w:t>
            </w:r>
          </w:p>
        </w:tc>
        <w:tc>
          <w:tcPr>
            <w:tcW w:w="2268" w:type="dxa"/>
            <w:vAlign w:val="center"/>
          </w:tcPr>
          <w:p>
            <w:pPr>
              <w:pStyle w:val="13"/>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法律援助对象满意度指标</w:t>
            </w:r>
          </w:p>
        </w:tc>
        <w:tc>
          <w:tcPr>
            <w:tcW w:w="2551" w:type="dxa"/>
            <w:vAlign w:val="center"/>
          </w:tcPr>
          <w:p>
            <w:pPr>
              <w:pStyle w:val="13"/>
            </w:pPr>
            <w:r>
              <w:t>≥100百分比</w:t>
            </w:r>
          </w:p>
        </w:tc>
        <w:tc>
          <w:tcPr>
            <w:tcW w:w="2268" w:type="dxa"/>
            <w:vAlign w:val="center"/>
          </w:tcPr>
          <w:p>
            <w:pPr>
              <w:pStyle w:val="13"/>
            </w:pPr>
            <w:r>
              <w:t>《关于进一步完善法律援助制度切实加强法律援助工作的实施意见》的通知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5、司法局法制宣传教育经费绩效目标表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1.落实“七五”普法规划各项工作</w:t>
            </w:r>
          </w:p>
          <w:p>
            <w:pPr>
              <w:pStyle w:val="13"/>
            </w:pPr>
            <w:r>
              <w:t>2.开展“12.4”国家宪法日主题宣传活动</w:t>
            </w:r>
          </w:p>
          <w:p>
            <w:pPr>
              <w:pStyle w:val="13"/>
            </w:pPr>
            <w:r>
              <w:t>3.推动全县法制宣传教育</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2835" w:type="dxa"/>
            <w:vAlign w:val="center"/>
          </w:tcPr>
          <w:p>
            <w:pPr>
              <w:pStyle w:val="13"/>
            </w:pPr>
            <w:r>
              <w:t>组织主题宣传活动场次</w:t>
            </w:r>
          </w:p>
        </w:tc>
        <w:tc>
          <w:tcPr>
            <w:tcW w:w="2551" w:type="dxa"/>
            <w:vAlign w:val="center"/>
          </w:tcPr>
          <w:p>
            <w:pPr>
              <w:pStyle w:val="13"/>
            </w:pPr>
            <w:r>
              <w:t>≥23场</w:t>
            </w:r>
          </w:p>
        </w:tc>
        <w:tc>
          <w:tcPr>
            <w:tcW w:w="2268" w:type="dxa"/>
            <w:vAlign w:val="center"/>
          </w:tcPr>
          <w:p>
            <w:pPr>
              <w:pStyle w:val="13"/>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2835" w:type="dxa"/>
            <w:vAlign w:val="center"/>
          </w:tcPr>
          <w:p>
            <w:pPr>
              <w:pStyle w:val="13"/>
            </w:pPr>
            <w:r>
              <w:t>督导检查次数</w:t>
            </w:r>
          </w:p>
        </w:tc>
        <w:tc>
          <w:tcPr>
            <w:tcW w:w="2551" w:type="dxa"/>
            <w:vAlign w:val="center"/>
          </w:tcPr>
          <w:p>
            <w:pPr>
              <w:pStyle w:val="13"/>
            </w:pPr>
            <w:r>
              <w:t>≥1次</w:t>
            </w:r>
          </w:p>
        </w:tc>
        <w:tc>
          <w:tcPr>
            <w:tcW w:w="2268" w:type="dxa"/>
            <w:vAlign w:val="center"/>
          </w:tcPr>
          <w:p>
            <w:pPr>
              <w:pStyle w:val="13"/>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时效指标</w:t>
            </w:r>
          </w:p>
        </w:tc>
        <w:tc>
          <w:tcPr>
            <w:tcW w:w="2835" w:type="dxa"/>
            <w:vAlign w:val="center"/>
          </w:tcPr>
          <w:p>
            <w:pPr>
              <w:pStyle w:val="13"/>
            </w:pPr>
            <w:r>
              <w:t>宣传资料印刷册数</w:t>
            </w:r>
          </w:p>
        </w:tc>
        <w:tc>
          <w:tcPr>
            <w:tcW w:w="2551" w:type="dxa"/>
            <w:vAlign w:val="center"/>
          </w:tcPr>
          <w:p>
            <w:pPr>
              <w:pStyle w:val="13"/>
            </w:pPr>
            <w:r>
              <w:t>≥1800册</w:t>
            </w:r>
          </w:p>
        </w:tc>
        <w:tc>
          <w:tcPr>
            <w:tcW w:w="2268" w:type="dxa"/>
            <w:vAlign w:val="center"/>
          </w:tcPr>
          <w:p>
            <w:pPr>
              <w:pStyle w:val="13"/>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成本指标</w:t>
            </w:r>
          </w:p>
        </w:tc>
        <w:tc>
          <w:tcPr>
            <w:tcW w:w="2835" w:type="dxa"/>
            <w:vAlign w:val="center"/>
          </w:tcPr>
          <w:p>
            <w:pPr>
              <w:pStyle w:val="13"/>
            </w:pPr>
            <w:r>
              <w:t>资金成本</w:t>
            </w:r>
          </w:p>
        </w:tc>
        <w:tc>
          <w:tcPr>
            <w:tcW w:w="2551" w:type="dxa"/>
            <w:vAlign w:val="center"/>
          </w:tcPr>
          <w:p>
            <w:pPr>
              <w:pStyle w:val="13"/>
            </w:pPr>
            <w:r>
              <w:t>≥80百分比</w:t>
            </w:r>
          </w:p>
        </w:tc>
        <w:tc>
          <w:tcPr>
            <w:tcW w:w="2268" w:type="dxa"/>
            <w:vAlign w:val="center"/>
          </w:tcPr>
          <w:p>
            <w:pPr>
              <w:pStyle w:val="13"/>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2835" w:type="dxa"/>
            <w:vAlign w:val="center"/>
          </w:tcPr>
          <w:p>
            <w:pPr>
              <w:pStyle w:val="13"/>
            </w:pPr>
            <w:r>
              <w:t>以实现利润为主要挂钩指标</w:t>
            </w:r>
          </w:p>
        </w:tc>
        <w:tc>
          <w:tcPr>
            <w:tcW w:w="2551" w:type="dxa"/>
            <w:vAlign w:val="center"/>
          </w:tcPr>
          <w:p>
            <w:pPr>
              <w:pStyle w:val="13"/>
            </w:pPr>
            <w:r>
              <w:t>≥80百分比</w:t>
            </w:r>
          </w:p>
        </w:tc>
        <w:tc>
          <w:tcPr>
            <w:tcW w:w="2268" w:type="dxa"/>
            <w:vAlign w:val="center"/>
          </w:tcPr>
          <w:p>
            <w:pPr>
              <w:pStyle w:val="13"/>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2835" w:type="dxa"/>
            <w:vAlign w:val="center"/>
          </w:tcPr>
          <w:p>
            <w:pPr>
              <w:pStyle w:val="13"/>
            </w:pPr>
            <w:r>
              <w:t>在全国或全省产生的重要影响，得到广大受众的充分认可。</w:t>
            </w:r>
          </w:p>
        </w:tc>
        <w:tc>
          <w:tcPr>
            <w:tcW w:w="2551" w:type="dxa"/>
            <w:vAlign w:val="center"/>
          </w:tcPr>
          <w:p>
            <w:pPr>
              <w:pStyle w:val="13"/>
            </w:pPr>
            <w:r>
              <w:t>≥80百分比</w:t>
            </w:r>
          </w:p>
        </w:tc>
        <w:tc>
          <w:tcPr>
            <w:tcW w:w="2268" w:type="dxa"/>
            <w:vAlign w:val="center"/>
          </w:tcPr>
          <w:p>
            <w:pPr>
              <w:pStyle w:val="13"/>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2835" w:type="dxa"/>
            <w:vAlign w:val="center"/>
          </w:tcPr>
          <w:p>
            <w:pPr>
              <w:pStyle w:val="13"/>
            </w:pPr>
            <w:r>
              <w:t>提供法律援助数量（宗）</w:t>
            </w:r>
          </w:p>
        </w:tc>
        <w:tc>
          <w:tcPr>
            <w:tcW w:w="2551" w:type="dxa"/>
            <w:vAlign w:val="center"/>
          </w:tcPr>
          <w:p>
            <w:pPr>
              <w:pStyle w:val="13"/>
            </w:pPr>
            <w:r>
              <w:t>≥40个</w:t>
            </w:r>
          </w:p>
        </w:tc>
        <w:tc>
          <w:tcPr>
            <w:tcW w:w="2268" w:type="dxa"/>
            <w:vAlign w:val="center"/>
          </w:tcPr>
          <w:p>
            <w:pPr>
              <w:pStyle w:val="13"/>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服务对象满意度指标</w:t>
            </w:r>
          </w:p>
        </w:tc>
        <w:tc>
          <w:tcPr>
            <w:tcW w:w="2551" w:type="dxa"/>
            <w:vAlign w:val="center"/>
          </w:tcPr>
          <w:p>
            <w:pPr>
              <w:pStyle w:val="13"/>
            </w:pPr>
            <w:r>
              <w:t>≥100百分比</w:t>
            </w:r>
          </w:p>
          <w:p>
            <w:pPr>
              <w:pStyle w:val="13"/>
            </w:pPr>
          </w:p>
        </w:tc>
        <w:tc>
          <w:tcPr>
            <w:tcW w:w="2268" w:type="dxa"/>
            <w:vAlign w:val="center"/>
          </w:tcPr>
          <w:p>
            <w:pPr>
              <w:pStyle w:val="13"/>
            </w:pPr>
            <w:r>
              <w:t>《保定市法制宣传教育领导小组关于在全市公民中开展法制宣传教育第七个五年规划（2016-2020）》的通知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6、司法局公共法律服务体系建设经费（劳务派遣）绩效目标表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1.充分发挥法律服务职能</w:t>
            </w:r>
          </w:p>
          <w:p>
            <w:pPr>
              <w:pStyle w:val="13"/>
            </w:pPr>
            <w:r>
              <w:t>2.到2020年底，全面形成供给充分、保障有力、管理规范、运行高效、覆盖城乡、惠及全民的公共法律服务体系</w:t>
            </w:r>
          </w:p>
          <w:p>
            <w:pPr>
              <w:pStyle w:val="13"/>
            </w:pPr>
            <w:r>
              <w:t>3.规范律师、公证行业管理</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印刷法律援助宣传资料(册）</w:t>
            </w:r>
          </w:p>
        </w:tc>
        <w:tc>
          <w:tcPr>
            <w:tcW w:w="2835" w:type="dxa"/>
            <w:vAlign w:val="center"/>
          </w:tcPr>
          <w:p>
            <w:pPr>
              <w:pStyle w:val="13"/>
            </w:pPr>
            <w:r>
              <w:t>印刷法律援助宣传资料(册）</w:t>
            </w:r>
          </w:p>
        </w:tc>
        <w:tc>
          <w:tcPr>
            <w:tcW w:w="2551" w:type="dxa"/>
            <w:vAlign w:val="center"/>
          </w:tcPr>
          <w:p>
            <w:pPr>
              <w:pStyle w:val="13"/>
            </w:pPr>
            <w:r>
              <w:t>≥1000个</w:t>
            </w:r>
          </w:p>
        </w:tc>
        <w:tc>
          <w:tcPr>
            <w:tcW w:w="2268" w:type="dxa"/>
            <w:vAlign w:val="center"/>
          </w:tcPr>
          <w:p>
            <w:pPr>
              <w:pStyle w:val="13"/>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法律援助案件受理数（件）</w:t>
            </w:r>
          </w:p>
        </w:tc>
        <w:tc>
          <w:tcPr>
            <w:tcW w:w="2835" w:type="dxa"/>
            <w:vAlign w:val="center"/>
          </w:tcPr>
          <w:p>
            <w:pPr>
              <w:pStyle w:val="13"/>
            </w:pPr>
            <w:r>
              <w:t>法律援助案件受理数（件）</w:t>
            </w:r>
          </w:p>
        </w:tc>
        <w:tc>
          <w:tcPr>
            <w:tcW w:w="2551" w:type="dxa"/>
            <w:vAlign w:val="center"/>
          </w:tcPr>
          <w:p>
            <w:pPr>
              <w:pStyle w:val="13"/>
            </w:pPr>
            <w:r>
              <w:t>≥50件</w:t>
            </w:r>
          </w:p>
        </w:tc>
        <w:tc>
          <w:tcPr>
            <w:tcW w:w="2268" w:type="dxa"/>
            <w:vAlign w:val="center"/>
          </w:tcPr>
          <w:p>
            <w:pPr>
              <w:pStyle w:val="13"/>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按照要求和计划完成研究任务的项目在所有立项中的比例</w:t>
            </w:r>
          </w:p>
        </w:tc>
        <w:tc>
          <w:tcPr>
            <w:tcW w:w="2835" w:type="dxa"/>
            <w:vAlign w:val="center"/>
          </w:tcPr>
          <w:p>
            <w:pPr>
              <w:pStyle w:val="13"/>
            </w:pPr>
            <w:r>
              <w:t>按照要求和计划完成研究任务的项目在所有立项中的比例</w:t>
            </w:r>
          </w:p>
        </w:tc>
        <w:tc>
          <w:tcPr>
            <w:tcW w:w="2551" w:type="dxa"/>
            <w:vAlign w:val="center"/>
          </w:tcPr>
          <w:p>
            <w:pPr>
              <w:pStyle w:val="13"/>
            </w:pPr>
            <w:r>
              <w:t>≥80百分比</w:t>
            </w:r>
          </w:p>
        </w:tc>
        <w:tc>
          <w:tcPr>
            <w:tcW w:w="2268" w:type="dxa"/>
            <w:vAlign w:val="center"/>
          </w:tcPr>
          <w:p>
            <w:pPr>
              <w:pStyle w:val="13"/>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成本目标实施的实际情况以及成本计划指标的实现结果的主要指标。</w:t>
            </w:r>
          </w:p>
        </w:tc>
        <w:tc>
          <w:tcPr>
            <w:tcW w:w="2835" w:type="dxa"/>
            <w:vAlign w:val="center"/>
          </w:tcPr>
          <w:p>
            <w:pPr>
              <w:pStyle w:val="13"/>
            </w:pPr>
            <w:r>
              <w:t>成本目标实施的实际情况以及成本计划指标的实现结果的主要指标。</w:t>
            </w:r>
          </w:p>
        </w:tc>
        <w:tc>
          <w:tcPr>
            <w:tcW w:w="2551" w:type="dxa"/>
            <w:vAlign w:val="center"/>
          </w:tcPr>
          <w:p>
            <w:pPr>
              <w:pStyle w:val="13"/>
            </w:pPr>
            <w:r>
              <w:t>≥80百分比</w:t>
            </w:r>
          </w:p>
        </w:tc>
        <w:tc>
          <w:tcPr>
            <w:tcW w:w="2268" w:type="dxa"/>
            <w:vAlign w:val="center"/>
          </w:tcPr>
          <w:p>
            <w:pPr>
              <w:pStyle w:val="13"/>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提供法律咨询数量（宗）</w:t>
            </w:r>
          </w:p>
        </w:tc>
        <w:tc>
          <w:tcPr>
            <w:tcW w:w="2835" w:type="dxa"/>
            <w:vAlign w:val="center"/>
          </w:tcPr>
          <w:p>
            <w:pPr>
              <w:pStyle w:val="13"/>
            </w:pPr>
            <w:r>
              <w:t>提供法律咨询数量（宗）</w:t>
            </w:r>
          </w:p>
        </w:tc>
        <w:tc>
          <w:tcPr>
            <w:tcW w:w="2551" w:type="dxa"/>
            <w:vAlign w:val="center"/>
          </w:tcPr>
          <w:p>
            <w:pPr>
              <w:pStyle w:val="13"/>
            </w:pPr>
            <w:r>
              <w:t>≥50件</w:t>
            </w:r>
          </w:p>
        </w:tc>
        <w:tc>
          <w:tcPr>
            <w:tcW w:w="2268" w:type="dxa"/>
            <w:vAlign w:val="center"/>
          </w:tcPr>
          <w:p>
            <w:pPr>
              <w:pStyle w:val="13"/>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在全国或全省产生的重要影响，得到广大受众的充分认可。</w:t>
            </w:r>
          </w:p>
        </w:tc>
        <w:tc>
          <w:tcPr>
            <w:tcW w:w="2835" w:type="dxa"/>
            <w:vAlign w:val="center"/>
          </w:tcPr>
          <w:p>
            <w:pPr>
              <w:pStyle w:val="13"/>
            </w:pPr>
            <w:r>
              <w:t>在全国或全省产生的重要影响，得到广大受众的充分认可。</w:t>
            </w:r>
          </w:p>
        </w:tc>
        <w:tc>
          <w:tcPr>
            <w:tcW w:w="2551" w:type="dxa"/>
            <w:vAlign w:val="center"/>
          </w:tcPr>
          <w:p>
            <w:pPr>
              <w:pStyle w:val="13"/>
            </w:pPr>
            <w:r>
              <w:t>≥80百分比</w:t>
            </w:r>
          </w:p>
        </w:tc>
        <w:tc>
          <w:tcPr>
            <w:tcW w:w="2268" w:type="dxa"/>
            <w:vAlign w:val="center"/>
          </w:tcPr>
          <w:p>
            <w:pPr>
              <w:pStyle w:val="13"/>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提供法律咨询数量（宗）</w:t>
            </w:r>
          </w:p>
        </w:tc>
        <w:tc>
          <w:tcPr>
            <w:tcW w:w="2835" w:type="dxa"/>
            <w:vAlign w:val="center"/>
          </w:tcPr>
          <w:p>
            <w:pPr>
              <w:pStyle w:val="13"/>
            </w:pPr>
            <w:r>
              <w:t>提供法律咨询数量（宗）</w:t>
            </w:r>
          </w:p>
        </w:tc>
        <w:tc>
          <w:tcPr>
            <w:tcW w:w="2551" w:type="dxa"/>
            <w:vAlign w:val="center"/>
          </w:tcPr>
          <w:p>
            <w:pPr>
              <w:pStyle w:val="13"/>
            </w:pPr>
            <w:r>
              <w:t>≥50件</w:t>
            </w:r>
          </w:p>
        </w:tc>
        <w:tc>
          <w:tcPr>
            <w:tcW w:w="2268" w:type="dxa"/>
            <w:vAlign w:val="center"/>
          </w:tcPr>
          <w:p>
            <w:pPr>
              <w:pStyle w:val="13"/>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服务对象满意度指标</w:t>
            </w:r>
          </w:p>
        </w:tc>
        <w:tc>
          <w:tcPr>
            <w:tcW w:w="2551" w:type="dxa"/>
            <w:vAlign w:val="center"/>
          </w:tcPr>
          <w:p>
            <w:pPr>
              <w:pStyle w:val="13"/>
            </w:pPr>
            <w:r>
              <w:t>≥100百分比</w:t>
            </w:r>
          </w:p>
        </w:tc>
        <w:tc>
          <w:tcPr>
            <w:tcW w:w="2268" w:type="dxa"/>
            <w:vAlign w:val="center"/>
          </w:tcPr>
          <w:p>
            <w:pPr>
              <w:pStyle w:val="13"/>
            </w:pPr>
            <w:r>
              <w:t>中共保定市委办公厅、保定市人民政府办公厅印发《关于加快推进公共法律服务体系建设的实施意见》的通知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7、司法局人民调解经费绩效目标表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1.深化人民调解工作</w:t>
            </w:r>
          </w:p>
          <w:p>
            <w:pPr>
              <w:pStyle w:val="13"/>
            </w:pPr>
            <w:r>
              <w:t>2.最大限度降低重新违法犯罪和社会不稳定因素发生率</w:t>
            </w:r>
          </w:p>
          <w:p>
            <w:pPr>
              <w:pStyle w:val="13"/>
            </w:pPr>
            <w:r>
              <w:t>3.人民调解工作所需资料费、培训费，人民调解委员会和人民调解工作经费。</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2835" w:type="dxa"/>
            <w:vAlign w:val="center"/>
          </w:tcPr>
          <w:p>
            <w:pPr>
              <w:pStyle w:val="13"/>
            </w:pPr>
            <w:r>
              <w:t>人民调解案件数</w:t>
            </w:r>
          </w:p>
        </w:tc>
        <w:tc>
          <w:tcPr>
            <w:tcW w:w="2551" w:type="dxa"/>
            <w:vAlign w:val="center"/>
          </w:tcPr>
          <w:p>
            <w:pPr>
              <w:pStyle w:val="13"/>
            </w:pPr>
            <w:r>
              <w:t>≥150人</w:t>
            </w:r>
          </w:p>
        </w:tc>
        <w:tc>
          <w:tcPr>
            <w:tcW w:w="2268" w:type="dxa"/>
            <w:vAlign w:val="center"/>
          </w:tcPr>
          <w:p>
            <w:pPr>
              <w:pStyle w:val="13"/>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2835" w:type="dxa"/>
            <w:vAlign w:val="center"/>
          </w:tcPr>
          <w:p>
            <w:pPr>
              <w:pStyle w:val="13"/>
            </w:pPr>
            <w:r>
              <w:t>再犯罪减低率</w:t>
            </w:r>
          </w:p>
        </w:tc>
        <w:tc>
          <w:tcPr>
            <w:tcW w:w="2551" w:type="dxa"/>
            <w:vAlign w:val="center"/>
          </w:tcPr>
          <w:p>
            <w:pPr>
              <w:pStyle w:val="13"/>
            </w:pPr>
            <w:r>
              <w:t>≥0.02百分比</w:t>
            </w:r>
          </w:p>
        </w:tc>
        <w:tc>
          <w:tcPr>
            <w:tcW w:w="2268" w:type="dxa"/>
            <w:vAlign w:val="center"/>
          </w:tcPr>
          <w:p>
            <w:pPr>
              <w:pStyle w:val="13"/>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时效指标</w:t>
            </w:r>
          </w:p>
        </w:tc>
        <w:tc>
          <w:tcPr>
            <w:tcW w:w="2835" w:type="dxa"/>
            <w:vAlign w:val="center"/>
          </w:tcPr>
          <w:p>
            <w:pPr>
              <w:pStyle w:val="13"/>
            </w:pPr>
            <w:r>
              <w:t>按期完成率</w:t>
            </w:r>
          </w:p>
        </w:tc>
        <w:tc>
          <w:tcPr>
            <w:tcW w:w="2551" w:type="dxa"/>
            <w:vAlign w:val="center"/>
          </w:tcPr>
          <w:p>
            <w:pPr>
              <w:pStyle w:val="13"/>
            </w:pPr>
            <w:r>
              <w:t>≥0.8百分比</w:t>
            </w:r>
          </w:p>
        </w:tc>
        <w:tc>
          <w:tcPr>
            <w:tcW w:w="2268" w:type="dxa"/>
            <w:vAlign w:val="center"/>
          </w:tcPr>
          <w:p>
            <w:pPr>
              <w:pStyle w:val="13"/>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2835" w:type="dxa"/>
            <w:vAlign w:val="center"/>
          </w:tcPr>
          <w:p>
            <w:pPr>
              <w:pStyle w:val="13"/>
            </w:pPr>
            <w:r>
              <w:t>以实现利润为主要挂钩指标</w:t>
            </w:r>
          </w:p>
        </w:tc>
        <w:tc>
          <w:tcPr>
            <w:tcW w:w="2551" w:type="dxa"/>
            <w:vAlign w:val="center"/>
          </w:tcPr>
          <w:p>
            <w:pPr>
              <w:pStyle w:val="13"/>
            </w:pPr>
            <w:r>
              <w:t>≥0.8百分比</w:t>
            </w:r>
          </w:p>
        </w:tc>
        <w:tc>
          <w:tcPr>
            <w:tcW w:w="2268" w:type="dxa"/>
            <w:vAlign w:val="center"/>
          </w:tcPr>
          <w:p>
            <w:pPr>
              <w:pStyle w:val="13"/>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2835" w:type="dxa"/>
            <w:vAlign w:val="center"/>
          </w:tcPr>
          <w:p>
            <w:pPr>
              <w:pStyle w:val="13"/>
            </w:pPr>
            <w:r>
              <w:t>民事案件调解撤诉率</w:t>
            </w:r>
          </w:p>
        </w:tc>
        <w:tc>
          <w:tcPr>
            <w:tcW w:w="2551" w:type="dxa"/>
            <w:vAlign w:val="center"/>
          </w:tcPr>
          <w:p>
            <w:pPr>
              <w:pStyle w:val="13"/>
            </w:pPr>
            <w:r>
              <w:t>≥0.8百分比</w:t>
            </w:r>
          </w:p>
        </w:tc>
        <w:tc>
          <w:tcPr>
            <w:tcW w:w="2268" w:type="dxa"/>
            <w:vAlign w:val="center"/>
          </w:tcPr>
          <w:p>
            <w:pPr>
              <w:pStyle w:val="13"/>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人民调解对象满意度指标</w:t>
            </w:r>
          </w:p>
        </w:tc>
        <w:tc>
          <w:tcPr>
            <w:tcW w:w="2551" w:type="dxa"/>
            <w:vAlign w:val="center"/>
          </w:tcPr>
          <w:p>
            <w:pPr>
              <w:pStyle w:val="13"/>
            </w:pPr>
            <w:r>
              <w:t>≥100百分比</w:t>
            </w:r>
          </w:p>
        </w:tc>
        <w:tc>
          <w:tcPr>
            <w:tcW w:w="2268" w:type="dxa"/>
            <w:vAlign w:val="center"/>
          </w:tcPr>
          <w:p>
            <w:pPr>
              <w:pStyle w:val="13"/>
            </w:pPr>
            <w:r>
              <w:t>根据保办发【2014】7号 中共市委办公厅、保定市人民政府办公厅关于加强人民调解工作的意见</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8、中央政法纪检监察转移支付资金（社区矫正）-冀财政法[2020]70号绩效目标表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1"/>
            </w:pPr>
            <w:r>
              <w:t>绩效目标</w:t>
            </w:r>
          </w:p>
        </w:tc>
        <w:tc>
          <w:tcPr>
            <w:tcW w:w="12756" w:type="dxa"/>
            <w:tcBorders>
              <w:bottom w:val="single" w:color="FFFFFF" w:sz="6" w:space="0"/>
            </w:tcBorders>
            <w:vAlign w:val="center"/>
          </w:tcPr>
          <w:p>
            <w:pPr>
              <w:pStyle w:val="13"/>
            </w:pPr>
            <w:r>
              <w:t>1.深化社区矫正工作</w:t>
            </w:r>
          </w:p>
          <w:p>
            <w:pPr>
              <w:pStyle w:val="13"/>
            </w:pPr>
            <w:r>
              <w:t>2.最大限度降低重新违法犯罪和社会不稳定因素发生率</w:t>
            </w:r>
          </w:p>
          <w:p>
            <w:pPr>
              <w:pStyle w:val="13"/>
            </w:pPr>
            <w:r>
              <w:t>3.社区矫正管理人员管理服刑人员所需装备购置及使用费，社区矫正基地培训费和社区矫正管理费</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35" w:type="dxa"/>
            <w:vAlign w:val="center"/>
          </w:tcPr>
          <w:p>
            <w:pPr>
              <w:pStyle w:val="11"/>
            </w:pPr>
            <w:r>
              <w:t>绩效指标描述</w:t>
            </w:r>
          </w:p>
        </w:tc>
        <w:tc>
          <w:tcPr>
            <w:tcW w:w="2551" w:type="dxa"/>
            <w:vAlign w:val="center"/>
          </w:tcPr>
          <w:p>
            <w:pPr>
              <w:pStyle w:val="11"/>
            </w:pPr>
            <w:r>
              <w:t>指标值</w:t>
            </w:r>
          </w:p>
        </w:tc>
        <w:tc>
          <w:tcPr>
            <w:tcW w:w="226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2835" w:type="dxa"/>
            <w:vAlign w:val="center"/>
          </w:tcPr>
          <w:p>
            <w:pPr>
              <w:pStyle w:val="13"/>
            </w:pPr>
            <w:r>
              <w:t>社区矫正人数</w:t>
            </w:r>
          </w:p>
        </w:tc>
        <w:tc>
          <w:tcPr>
            <w:tcW w:w="2551" w:type="dxa"/>
            <w:vAlign w:val="center"/>
          </w:tcPr>
          <w:p>
            <w:pPr>
              <w:pStyle w:val="13"/>
            </w:pPr>
            <w:r>
              <w:t>≥300人</w:t>
            </w:r>
          </w:p>
        </w:tc>
        <w:tc>
          <w:tcPr>
            <w:tcW w:w="2268" w:type="dxa"/>
            <w:vAlign w:val="center"/>
          </w:tcPr>
          <w:p>
            <w:pPr>
              <w:pStyle w:val="13"/>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2835" w:type="dxa"/>
            <w:vAlign w:val="center"/>
          </w:tcPr>
          <w:p>
            <w:pPr>
              <w:pStyle w:val="13"/>
            </w:pPr>
            <w:r>
              <w:t>服刑人员信息核查率</w:t>
            </w:r>
          </w:p>
        </w:tc>
        <w:tc>
          <w:tcPr>
            <w:tcW w:w="2551" w:type="dxa"/>
            <w:vAlign w:val="center"/>
          </w:tcPr>
          <w:p>
            <w:pPr>
              <w:pStyle w:val="13"/>
            </w:pPr>
            <w:r>
              <w:t>≥70百分比</w:t>
            </w:r>
          </w:p>
        </w:tc>
        <w:tc>
          <w:tcPr>
            <w:tcW w:w="2268" w:type="dxa"/>
            <w:vAlign w:val="center"/>
          </w:tcPr>
          <w:p>
            <w:pPr>
              <w:pStyle w:val="13"/>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时效指标</w:t>
            </w:r>
          </w:p>
        </w:tc>
        <w:tc>
          <w:tcPr>
            <w:tcW w:w="2835" w:type="dxa"/>
            <w:vAlign w:val="center"/>
          </w:tcPr>
          <w:p>
            <w:pPr>
              <w:pStyle w:val="13"/>
            </w:pPr>
            <w:r>
              <w:t>时效指标</w:t>
            </w:r>
          </w:p>
        </w:tc>
        <w:tc>
          <w:tcPr>
            <w:tcW w:w="2835" w:type="dxa"/>
            <w:vAlign w:val="center"/>
          </w:tcPr>
          <w:p>
            <w:pPr>
              <w:pStyle w:val="13"/>
            </w:pPr>
            <w:r>
              <w:t>项目按时完成率</w:t>
            </w:r>
          </w:p>
        </w:tc>
        <w:tc>
          <w:tcPr>
            <w:tcW w:w="2551" w:type="dxa"/>
            <w:vAlign w:val="center"/>
          </w:tcPr>
          <w:p>
            <w:pPr>
              <w:pStyle w:val="13"/>
            </w:pPr>
            <w:r>
              <w:t>≥60百分比</w:t>
            </w:r>
          </w:p>
        </w:tc>
        <w:tc>
          <w:tcPr>
            <w:tcW w:w="2268" w:type="dxa"/>
            <w:vAlign w:val="center"/>
          </w:tcPr>
          <w:p>
            <w:pPr>
              <w:pStyle w:val="13"/>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成本指标</w:t>
            </w:r>
          </w:p>
        </w:tc>
        <w:tc>
          <w:tcPr>
            <w:tcW w:w="2835" w:type="dxa"/>
            <w:vAlign w:val="center"/>
          </w:tcPr>
          <w:p>
            <w:pPr>
              <w:pStyle w:val="13"/>
            </w:pPr>
            <w:r>
              <w:t>成本指标</w:t>
            </w:r>
          </w:p>
        </w:tc>
        <w:tc>
          <w:tcPr>
            <w:tcW w:w="2835" w:type="dxa"/>
            <w:vAlign w:val="center"/>
          </w:tcPr>
          <w:p>
            <w:pPr>
              <w:pStyle w:val="13"/>
            </w:pPr>
            <w:r>
              <w:t>预算执行率</w:t>
            </w:r>
          </w:p>
        </w:tc>
        <w:tc>
          <w:tcPr>
            <w:tcW w:w="2551" w:type="dxa"/>
            <w:vAlign w:val="center"/>
          </w:tcPr>
          <w:p>
            <w:pPr>
              <w:pStyle w:val="13"/>
            </w:pPr>
            <w:r>
              <w:t>≥90百分比</w:t>
            </w:r>
          </w:p>
        </w:tc>
        <w:tc>
          <w:tcPr>
            <w:tcW w:w="2268" w:type="dxa"/>
            <w:vAlign w:val="center"/>
          </w:tcPr>
          <w:p>
            <w:pPr>
              <w:pStyle w:val="13"/>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2835" w:type="dxa"/>
            <w:vAlign w:val="center"/>
          </w:tcPr>
          <w:p>
            <w:pPr>
              <w:pStyle w:val="13"/>
            </w:pPr>
            <w:r>
              <w:t>再犯罪减低率</w:t>
            </w:r>
          </w:p>
        </w:tc>
        <w:tc>
          <w:tcPr>
            <w:tcW w:w="2551" w:type="dxa"/>
            <w:vAlign w:val="center"/>
          </w:tcPr>
          <w:p>
            <w:pPr>
              <w:pStyle w:val="13"/>
            </w:pPr>
            <w:r>
              <w:t>≥0.02百分比</w:t>
            </w:r>
          </w:p>
        </w:tc>
        <w:tc>
          <w:tcPr>
            <w:tcW w:w="2268" w:type="dxa"/>
            <w:vAlign w:val="center"/>
          </w:tcPr>
          <w:p>
            <w:pPr>
              <w:pStyle w:val="13"/>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可持续性影响</w:t>
            </w:r>
          </w:p>
        </w:tc>
        <w:tc>
          <w:tcPr>
            <w:tcW w:w="2835" w:type="dxa"/>
            <w:vAlign w:val="center"/>
          </w:tcPr>
          <w:p>
            <w:pPr>
              <w:pStyle w:val="13"/>
            </w:pPr>
            <w:r>
              <w:t>社区矫正满意度指标</w:t>
            </w:r>
          </w:p>
        </w:tc>
        <w:tc>
          <w:tcPr>
            <w:tcW w:w="2551" w:type="dxa"/>
            <w:vAlign w:val="center"/>
          </w:tcPr>
          <w:p>
            <w:pPr>
              <w:pStyle w:val="13"/>
            </w:pPr>
            <w:r>
              <w:t>≥100百分比</w:t>
            </w:r>
          </w:p>
        </w:tc>
        <w:tc>
          <w:tcPr>
            <w:tcW w:w="2268" w:type="dxa"/>
            <w:vAlign w:val="center"/>
          </w:tcPr>
          <w:p>
            <w:pPr>
              <w:pStyle w:val="13"/>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2835" w:type="dxa"/>
            <w:vAlign w:val="center"/>
          </w:tcPr>
          <w:p>
            <w:pPr>
              <w:pStyle w:val="13"/>
            </w:pPr>
            <w:r>
              <w:t>预算执行率</w:t>
            </w:r>
          </w:p>
        </w:tc>
        <w:tc>
          <w:tcPr>
            <w:tcW w:w="2551" w:type="dxa"/>
            <w:vAlign w:val="center"/>
          </w:tcPr>
          <w:p>
            <w:pPr>
              <w:pStyle w:val="13"/>
            </w:pPr>
            <w:r>
              <w:t>≥0.6百分比</w:t>
            </w:r>
          </w:p>
        </w:tc>
        <w:tc>
          <w:tcPr>
            <w:tcW w:w="2268" w:type="dxa"/>
            <w:vAlign w:val="center"/>
          </w:tcPr>
          <w:p>
            <w:pPr>
              <w:pStyle w:val="13"/>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2835" w:type="dxa"/>
            <w:vAlign w:val="center"/>
          </w:tcPr>
          <w:p>
            <w:pPr>
              <w:pStyle w:val="13"/>
            </w:pPr>
            <w:r>
              <w:t>社区矫正满意度指标</w:t>
            </w:r>
          </w:p>
        </w:tc>
        <w:tc>
          <w:tcPr>
            <w:tcW w:w="2551" w:type="dxa"/>
            <w:vAlign w:val="center"/>
          </w:tcPr>
          <w:p>
            <w:pPr>
              <w:pStyle w:val="13"/>
            </w:pPr>
            <w:r>
              <w:t>≥100百分比</w:t>
            </w:r>
          </w:p>
        </w:tc>
        <w:tc>
          <w:tcPr>
            <w:tcW w:w="2268" w:type="dxa"/>
            <w:vAlign w:val="center"/>
          </w:tcPr>
          <w:p>
            <w:pPr>
              <w:pStyle w:val="13"/>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2835" w:type="dxa"/>
            <w:vAlign w:val="center"/>
          </w:tcPr>
          <w:p>
            <w:pPr>
              <w:pStyle w:val="13"/>
            </w:pPr>
            <w:r>
              <w:t>安置帮教满意度指标</w:t>
            </w:r>
          </w:p>
        </w:tc>
        <w:tc>
          <w:tcPr>
            <w:tcW w:w="2551" w:type="dxa"/>
            <w:vAlign w:val="center"/>
          </w:tcPr>
          <w:p>
            <w:pPr>
              <w:pStyle w:val="13"/>
            </w:pPr>
            <w:r>
              <w:t>≥100百分比</w:t>
            </w:r>
          </w:p>
        </w:tc>
        <w:tc>
          <w:tcPr>
            <w:tcW w:w="2268" w:type="dxa"/>
            <w:vAlign w:val="center"/>
          </w:tcPr>
          <w:p>
            <w:pPr>
              <w:pStyle w:val="13"/>
            </w:pPr>
            <w:r>
              <w:t>关于印发《保定市社区矫正工作管理人员定位手机使用管理办法》的通知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4" w:name="_Toc_3_3_0000000015"/>
      <w:r>
        <w:rPr>
          <w:rFonts w:asci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2022年，高阳县司法局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安排政府采购预算0.00万元。具体内容见下表。</w:t>
      </w:r>
    </w:p>
    <w:p>
      <w:pPr>
        <w:spacing w:before="0" w:after="0" w:line="240" w:lineRule="auto"/>
        <w:ind w:firstLine="0"/>
        <w:jc w:val="center"/>
        <w:outlineLvl w:val="9"/>
      </w:pPr>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8674"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w:t>
            </w:r>
            <w:r>
              <w:rPr>
                <w:rFonts w:hint="eastAsia"/>
                <w:lang w:eastAsia="zh-CN"/>
              </w:rPr>
              <w:t>单位</w:t>
            </w:r>
            <w:r>
              <w:t>预算安排资金）</w:t>
            </w:r>
          </w:p>
        </w:tc>
        <w:tc>
          <w:tcPr>
            <w:tcW w:w="964" w:type="dxa"/>
            <w:vMerge w:val="restart"/>
            <w:vAlign w:val="center"/>
          </w:tcPr>
          <w:p>
            <w:pPr>
              <w:pStyle w:val="11"/>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eastAsia="黑体" w:cs="黑体"/>
          <w:color w:val="000000"/>
          <w:sz w:val="32"/>
        </w:rPr>
        <w:t>七、</w:t>
      </w:r>
      <w:r>
        <w:rPr>
          <w:rFonts w:hint="eastAsia" w:ascii="黑体" w:eastAsia="黑体" w:cs="黑体"/>
          <w:color w:val="000000"/>
          <w:sz w:val="32"/>
          <w:lang w:eastAsia="zh-CN"/>
        </w:rPr>
        <w:t>单位</w:t>
      </w:r>
      <w:r>
        <w:rPr>
          <w:rFonts w:ascii="黑体" w:eastAsia="黑体" w:cs="黑体"/>
          <w:color w:val="000000"/>
          <w:sz w:val="32"/>
        </w:rPr>
        <w:t>国有资产信息</w:t>
      </w:r>
      <w:bookmarkEnd w:id="15"/>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ascii="Times New Roman" w:hAnsi="Times New Roman" w:eastAsia="方正仿宋_GBK" w:cs="Times New Roman"/>
          <w:b w:val="0"/>
          <w:color w:val="000000"/>
          <w:sz w:val="28"/>
        </w:rPr>
        <w:t>高阳县司法局</w:t>
      </w:r>
      <w:r>
        <w:rPr>
          <w:rFonts w:hint="eastAsia" w:ascii="Times New Roman" w:hAnsi="Times New Roman"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ascii="Times New Roman" w:hAnsi="Times New Roman" w:eastAsia="方正仿宋_GBK" w:cs="Times New Roman"/>
          <w:b w:val="0"/>
          <w:color w:val="000000"/>
          <w:sz w:val="28"/>
          <w:lang w:val="en-US" w:eastAsia="zh-CN"/>
        </w:rPr>
        <w:t>169.29</w:t>
      </w:r>
      <w:r>
        <w:rPr>
          <w:rFonts w:ascii="Times New Roman" w:hAnsi="Times New Roman" w:eastAsia="方正仿宋_GBK" w:cs="Times New Roman"/>
          <w:b w:val="0"/>
          <w:color w:val="000000"/>
          <w:sz w:val="28"/>
        </w:rPr>
        <w:t>万元（详见下表）。本年度拟购置固定资产总额为0.00万元</w:t>
      </w:r>
      <w:r>
        <w:rPr>
          <w:rFonts w:hint="eastAsia" w:eastAsia="方正仿宋_GBK" w:cs="Times New Roman"/>
          <w:b w:val="0"/>
          <w:color w:val="000000"/>
          <w:sz w:val="28"/>
          <w:lang w:eastAsia="zh-CN"/>
        </w:rPr>
        <w:t>。</w:t>
      </w:r>
    </w:p>
    <w:p>
      <w:pPr>
        <w:spacing w:before="0" w:after="0" w:line="240" w:lineRule="auto"/>
        <w:ind w:firstLine="0"/>
        <w:jc w:val="center"/>
        <w:outlineLvl w:val="9"/>
      </w:pPr>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315高阳县司法局</w:t>
            </w:r>
            <w:r>
              <w:rPr>
                <w:rFonts w:hint="eastAsia"/>
                <w:lang w:eastAsia="zh-CN"/>
              </w:rPr>
              <w:t>本级</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rPr>
                <w:rFonts w:hint="eastAsia" w:ascii="仿宋_GB2312" w:hAnsi="仿宋" w:eastAsia="仿宋_GB2312" w:cs="宋体"/>
                <w:b/>
                <w:bCs/>
                <w:color w:val="000000"/>
                <w:kern w:val="0"/>
                <w:sz w:val="24"/>
                <w:szCs w:val="24"/>
              </w:rPr>
              <w:t>固定资产总额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169.29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rPr>
                <w:rFonts w:hint="eastAsia" w:ascii="仿宋_GB2312" w:hAnsi="仿宋" w:eastAsia="仿宋_GB2312" w:cs="宋体"/>
                <w:color w:val="000000"/>
                <w:kern w:val="0"/>
                <w:sz w:val="24"/>
                <w:szCs w:val="24"/>
              </w:rPr>
              <w:t xml:space="preserve">  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rPr>
                <w:rFonts w:hint="eastAsia" w:ascii="仿宋_GB2312" w:hAnsi="仿宋" w:eastAsia="仿宋_GB2312" w:cs="宋体"/>
                <w:color w:val="000000"/>
                <w:kern w:val="0"/>
                <w:sz w:val="24"/>
                <w:szCs w:val="24"/>
              </w:rPr>
              <w:t>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rPr>
                <w:rFonts w:hint="eastAsia" w:ascii="仿宋_GB2312" w:hAnsi="仿宋" w:eastAsia="仿宋_GB2312" w:cs="宋体"/>
                <w:color w:val="000000"/>
                <w:kern w:val="0"/>
                <w:sz w:val="24"/>
                <w:szCs w:val="24"/>
              </w:rPr>
              <w:t xml:space="preserve">  2、车辆（台、辆）</w:t>
            </w:r>
          </w:p>
        </w:tc>
        <w:tc>
          <w:tcPr>
            <w:tcW w:w="2835" w:type="dxa"/>
            <w:vAlign w:val="center"/>
          </w:tcPr>
          <w:p>
            <w:pPr>
              <w:pStyle w:val="14"/>
              <w:rPr>
                <w:rFonts w:hint="eastAsia" w:eastAsia="方正书宋_GBK"/>
                <w:lang w:val="en-US" w:eastAsia="zh-CN"/>
              </w:rPr>
            </w:pPr>
            <w:r>
              <w:rPr>
                <w:rFonts w:hint="eastAsia"/>
                <w:lang w:val="en-US" w:eastAsia="zh-CN"/>
              </w:rPr>
              <w:t>3</w:t>
            </w:r>
          </w:p>
        </w:tc>
        <w:tc>
          <w:tcPr>
            <w:tcW w:w="2835" w:type="dxa"/>
            <w:vAlign w:val="center"/>
          </w:tcPr>
          <w:p>
            <w:pPr>
              <w:pStyle w:val="12"/>
              <w:rPr>
                <w:rFonts w:hint="default" w:eastAsia="方正书宋_GBK"/>
                <w:lang w:val="en-US" w:eastAsia="zh-CN"/>
              </w:rPr>
            </w:pPr>
            <w:r>
              <w:rPr>
                <w:rFonts w:hint="eastAsia"/>
                <w:lang w:val="en-US" w:eastAsia="zh-CN"/>
              </w:rPr>
              <w:t>140.03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7370" w:type="dxa"/>
            <w:vAlign w:val="center"/>
          </w:tcPr>
          <w:p>
            <w:pPr>
              <w:pStyle w:val="13"/>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 xml:space="preserve"> 3、单价在</w:t>
            </w:r>
            <w:r>
              <w:rPr>
                <w:rFonts w:hint="eastAsia" w:ascii="仿宋_GB2312" w:hAnsi="仿宋" w:eastAsia="仿宋_GB2312" w:cs="宋体"/>
                <w:color w:val="000000"/>
                <w:kern w:val="0"/>
                <w:sz w:val="24"/>
                <w:szCs w:val="24"/>
                <w:lang w:val="en-US" w:eastAsia="zh-CN"/>
              </w:rPr>
              <w:t>20</w:t>
            </w:r>
            <w:r>
              <w:rPr>
                <w:rFonts w:hint="eastAsia" w:ascii="仿宋_GB2312" w:hAnsi="仿宋" w:eastAsia="仿宋_GB2312" w:cs="宋体"/>
                <w:color w:val="000000"/>
                <w:kern w:val="0"/>
                <w:sz w:val="24"/>
                <w:szCs w:val="24"/>
              </w:rPr>
              <w:t>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 xml:space="preserve">  4、其他固定资产</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169.29</w:t>
            </w:r>
          </w:p>
        </w:tc>
      </w:tr>
    </w:tbl>
    <w:p>
      <w:pPr>
        <w:spacing w:before="10" w:after="10" w:line="240" w:lineRule="auto"/>
        <w:ind w:firstLine="640"/>
        <w:jc w:val="left"/>
        <w:outlineLvl w:val="2"/>
        <w:rPr>
          <w:rFonts w:ascii="黑体" w:eastAsia="黑体" w:cs="黑体"/>
          <w:color w:val="000000"/>
          <w:sz w:val="32"/>
        </w:rPr>
      </w:pPr>
      <w:r>
        <w:rPr>
          <w:rFonts w:ascii="Times New Roman" w:hAnsi="Times New Roman" w:eastAsia="方正仿宋_GBK" w:cs="Times New Roman"/>
          <w:color w:val="000000"/>
          <w:sz w:val="32"/>
        </w:rPr>
        <w:t xml:space="preserve"> </w:t>
      </w:r>
      <w:bookmarkStart w:id="16" w:name="_Toc_3_3_0000000017"/>
    </w:p>
    <w:p>
      <w:pPr>
        <w:spacing w:before="10" w:after="10" w:line="240" w:lineRule="auto"/>
        <w:ind w:firstLine="640"/>
        <w:jc w:val="left"/>
        <w:outlineLvl w:val="2"/>
        <w:rPr>
          <w:rFonts w:ascii="黑体" w:eastAsia="黑体" w:cs="黑体"/>
          <w:color w:val="000000"/>
          <w:sz w:val="32"/>
        </w:rPr>
      </w:pPr>
    </w:p>
    <w:p>
      <w:pPr>
        <w:spacing w:before="10" w:after="10" w:line="240" w:lineRule="auto"/>
        <w:ind w:firstLine="640"/>
        <w:jc w:val="left"/>
        <w:outlineLvl w:val="2"/>
      </w:pPr>
      <w:r>
        <w:rPr>
          <w:rFonts w:asci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63BAD"/>
    <w:multiLevelType w:val="singleLevel"/>
    <w:tmpl w:val="AF763BAD"/>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evenAndOddHeaders w:val="1"/>
  <w:drawingGridHorizontalSpacing w:val="120"/>
  <w:drawingGridVerticalSpacing w:val="163"/>
  <w:displayHorizontalDrawingGridEvery w:val="1"/>
  <w:displayVerticalDrawingGridEvery w:val="1"/>
  <w:noPunctuationKerning w:val="1"/>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zQyYWRhNWJlMDI2NjI2NGVlMWMyZmMyYzNkODYifQ=="/>
  </w:docVars>
  <w:rsids>
    <w:rsidRoot w:val="00000000"/>
    <w:rsid w:val="0B6A0DA4"/>
    <w:rsid w:val="0F264C16"/>
    <w:rsid w:val="187B0271"/>
    <w:rsid w:val="1BD64ECD"/>
    <w:rsid w:val="2039315E"/>
    <w:rsid w:val="2C1C7873"/>
    <w:rsid w:val="2E035B19"/>
    <w:rsid w:val="328F13DA"/>
    <w:rsid w:val="332E06F5"/>
    <w:rsid w:val="5B887EA8"/>
    <w:rsid w:val="66911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oc 1"/>
    <w:basedOn w:val="1"/>
    <w:next w:val="1"/>
    <w:qFormat/>
    <w:uiPriority w:val="0"/>
    <w:pPr>
      <w:spacing w:before="120"/>
      <w:ind w:firstLine="560"/>
    </w:pPr>
    <w:rPr>
      <w:rFonts w:eastAsia="方正仿宋_GBK"/>
      <w:color w:val="000000"/>
      <w:sz w:val="28"/>
    </w:rPr>
  </w:style>
  <w:style w:type="paragraph" w:customStyle="1" w:styleId="8">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1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TOC 2"/>
    <w:basedOn w:val="1"/>
    <w:qFormat/>
    <w:uiPriority w:val="0"/>
    <w:pPr>
      <w:ind w:left="240"/>
    </w:pPr>
  </w:style>
  <w:style w:type="paragraph" w:customStyle="1" w:styleId="31">
    <w:name w:val="TOC 3"/>
    <w:basedOn w:val="1"/>
    <w:qFormat/>
    <w:uiPriority w:val="0"/>
    <w:pPr>
      <w:ind w:left="480"/>
    </w:pPr>
  </w:style>
  <w:style w:type="paragraph" w:customStyle="1" w:styleId="32">
    <w:name w:val="TOC 4"/>
    <w:basedOn w:val="1"/>
    <w:qFormat/>
    <w:uiPriority w:val="0"/>
    <w:pPr>
      <w:ind w:left="720"/>
    </w:pPr>
  </w:style>
  <w:style w:type="paragraph" w:customStyle="1" w:styleId="3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42</Pages>
  <Words>11380</Words>
  <Characters>13161</Characters>
  <Lines>4511</Lines>
  <Paragraphs>2664</Paragraphs>
  <TotalTime>28</TotalTime>
  <ScaleCrop>false</ScaleCrop>
  <LinksUpToDate>false</LinksUpToDate>
  <CharactersWithSpaces>13396</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2022-03-16T15:37:00Z</dcterms:created>
  <dc:creator>bsqcg</dc:creator>
  <cp:lastModifiedBy>Administratorgy0312</cp:lastModifiedBy>
  <dcterms:modified xsi:type="dcterms:W3CDTF">2023-11-08T11:46:27Z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64198E5296484DF98C2851A9E8AB3F85_13</vt:lpwstr>
  </property>
</Properties>
</file>