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rFonts w:eastAsia="Times New Roman"/>
        </w:rPr>
      </w:pPr>
      <w:bookmarkStart w:id="18" w:name="_GoBack"/>
      <w:bookmarkEnd w:id="18"/>
      <w:r>
        <w:rPr>
          <w:rFonts w:ascii="黑体" w:eastAsia="黑体" w:cs="黑体"/>
          <w:b/>
          <w:color w:val="000000"/>
          <w:sz w:val="44"/>
        </w:rPr>
        <w:t>2022</w:t>
      </w:r>
      <w:r>
        <w:rPr>
          <w:rFonts w:hint="eastAsia" w:ascii="黑体" w:eastAsia="黑体" w:cs="黑体"/>
          <w:b/>
          <w:color w:val="000000"/>
          <w:sz w:val="44"/>
        </w:rPr>
        <w:t>年</w:t>
      </w:r>
      <w:r>
        <w:rPr>
          <w:rFonts w:ascii="黑体" w:eastAsia="黑体" w:cs="黑体"/>
          <w:b/>
          <w:color w:val="000000"/>
          <w:sz w:val="44"/>
        </w:rPr>
        <w:t>单位</w:t>
      </w:r>
      <w:r>
        <w:rPr>
          <w:rFonts w:hint="eastAsia" w:ascii="黑体" w:eastAsia="黑体" w:cs="黑体"/>
          <w:b/>
          <w:color w:val="000000"/>
          <w:sz w:val="44"/>
        </w:rPr>
        <w:t>预算信息公开目录</w:t>
      </w:r>
    </w:p>
    <w:p>
      <w:pPr>
        <w:jc w:val="center"/>
        <w:rPr>
          <w:rFonts w:eastAsia="Times New Roman"/>
        </w:rPr>
      </w:pPr>
      <w:r>
        <w:rPr>
          <w:rFonts w:ascii="黑体" w:eastAsia="黑体" w:cs="黑体"/>
          <w:b/>
          <w:color w:val="000000"/>
          <w:sz w:val="30"/>
        </w:rPr>
        <w:t xml:space="preserve"> </w:t>
      </w:r>
    </w:p>
    <w:p>
      <w:pPr>
        <w:rPr>
          <w:rFonts w:ascii="方正楷体_GBK" w:eastAsia="方正楷体_GBK" w:cs="方正楷体_GBK"/>
          <w:b/>
          <w:color w:val="000000"/>
          <w:sz w:val="28"/>
          <w:lang w:eastAsia="zh-CN"/>
        </w:rPr>
      </w:pPr>
    </w:p>
    <w:p>
      <w:pPr>
        <w:rPr>
          <w:rFonts w:eastAsia="Times New Roman"/>
        </w:rPr>
      </w:pPr>
      <w:r>
        <w:rPr>
          <w:rFonts w:ascii="方正楷体_GBK" w:eastAsia="方正楷体_GBK" w:cs="方正楷体_GBK"/>
          <w:b/>
          <w:color w:val="000000"/>
          <w:sz w:val="28"/>
        </w:rPr>
        <w:t>单位</w:t>
      </w:r>
      <w:r>
        <w:rPr>
          <w:rFonts w:hint="eastAsia" w:ascii="方正楷体_GBK" w:eastAsia="方正楷体_GBK" w:cs="方正楷体_GBK"/>
          <w:b/>
          <w:color w:val="000000"/>
          <w:sz w:val="28"/>
        </w:rPr>
        <w:t>预算公开表</w:t>
      </w:r>
    </w:p>
    <w:p>
      <w:pPr>
        <w:pStyle w:val="7"/>
        <w:tabs>
          <w:tab w:val="right" w:leader="dot" w:pos="14562"/>
        </w:tabs>
      </w:pPr>
      <w:r>
        <w:fldChar w:fldCharType="begin"/>
      </w:r>
      <w:r>
        <w:instrText xml:space="preserve">TOC \o "2-2" \h \z \u </w:instrText>
      </w:r>
      <w:r>
        <w:fldChar w:fldCharType="separate"/>
      </w:r>
      <w:r>
        <w:t>单位</w:t>
      </w:r>
      <w:r>
        <w:rPr>
          <w:rFonts w:hint="eastAsia"/>
        </w:rPr>
        <w:t>预算收支总表</w:t>
      </w:r>
      <w:r>
        <w:tab/>
      </w:r>
      <w:r>
        <w:rPr>
          <w:lang w:eastAsia="zh-CN"/>
        </w:rPr>
        <w:t>3</w:t>
      </w:r>
    </w:p>
    <w:p>
      <w:pPr>
        <w:pStyle w:val="7"/>
        <w:tabs>
          <w:tab w:val="right" w:leader="dot" w:pos="14562"/>
        </w:tabs>
      </w:pPr>
      <w:r>
        <w:fldChar w:fldCharType="begin"/>
      </w:r>
      <w:r>
        <w:instrText xml:space="preserve">Hyperlink \l "_Toc_2_2_0000000002"</w:instrText>
      </w:r>
      <w:r>
        <w:fldChar w:fldCharType="separate"/>
      </w:r>
      <w:r>
        <w:t>单位</w:t>
      </w:r>
      <w:r>
        <w:rPr>
          <w:rFonts w:hint="eastAsia"/>
        </w:rPr>
        <w:t>预算收入总表</w:t>
      </w:r>
      <w:r>
        <w:tab/>
      </w:r>
      <w:r>
        <w:rPr>
          <w:lang w:eastAsia="zh-CN"/>
        </w:rPr>
        <w:t>5</w:t>
      </w:r>
      <w:r>
        <w:fldChar w:fldCharType="end"/>
      </w:r>
    </w:p>
    <w:p>
      <w:pPr>
        <w:pStyle w:val="7"/>
        <w:tabs>
          <w:tab w:val="right" w:leader="dot" w:pos="14562"/>
        </w:tabs>
      </w:pPr>
      <w:r>
        <w:fldChar w:fldCharType="begin"/>
      </w:r>
      <w:r>
        <w:instrText xml:space="preserve">Hyperlink \l "_Toc_2_2_0000000003"</w:instrText>
      </w:r>
      <w:r>
        <w:fldChar w:fldCharType="separate"/>
      </w:r>
      <w:r>
        <w:t>单位</w:t>
      </w:r>
      <w:r>
        <w:rPr>
          <w:rFonts w:hint="eastAsia"/>
        </w:rPr>
        <w:t>预算支出总表</w:t>
      </w:r>
      <w:r>
        <w:tab/>
      </w:r>
      <w:r>
        <w:rPr>
          <w:lang w:eastAsia="zh-CN"/>
        </w:rPr>
        <w:t>7</w:t>
      </w:r>
      <w:r>
        <w:fldChar w:fldCharType="end"/>
      </w:r>
    </w:p>
    <w:p>
      <w:pPr>
        <w:pStyle w:val="7"/>
        <w:tabs>
          <w:tab w:val="right" w:leader="dot" w:pos="14562"/>
        </w:tabs>
      </w:pPr>
      <w:r>
        <w:fldChar w:fldCharType="begin"/>
      </w:r>
      <w:r>
        <w:instrText xml:space="preserve">Hyperlink \l "_Toc_2_2_0000000004"</w:instrText>
      </w:r>
      <w:r>
        <w:fldChar w:fldCharType="separate"/>
      </w:r>
      <w:r>
        <w:t>单位</w:t>
      </w:r>
      <w:r>
        <w:rPr>
          <w:rFonts w:hint="eastAsia"/>
        </w:rPr>
        <w:t>预算财政拨款收支总表</w:t>
      </w:r>
      <w:r>
        <w:tab/>
      </w:r>
      <w:r>
        <w:rPr>
          <w:lang w:eastAsia="zh-CN"/>
        </w:rPr>
        <w:t>8</w:t>
      </w:r>
      <w:r>
        <w:fldChar w:fldCharType="end"/>
      </w:r>
    </w:p>
    <w:p>
      <w:pPr>
        <w:pStyle w:val="7"/>
        <w:tabs>
          <w:tab w:val="right" w:leader="dot" w:pos="14562"/>
        </w:tabs>
      </w:pPr>
      <w:r>
        <w:fldChar w:fldCharType="begin"/>
      </w:r>
      <w:r>
        <w:instrText xml:space="preserve">Hyperlink \l "_Toc_2_2_0000000005"</w:instrText>
      </w:r>
      <w:r>
        <w:fldChar w:fldCharType="separate"/>
      </w:r>
      <w:r>
        <w:t>单位</w:t>
      </w:r>
      <w:r>
        <w:rPr>
          <w:rFonts w:hint="eastAsia"/>
        </w:rPr>
        <w:t>预算一般公共预算财政拨款支出表</w:t>
      </w:r>
      <w:r>
        <w:tab/>
      </w:r>
      <w:r>
        <w:rPr>
          <w:lang w:eastAsia="zh-CN"/>
        </w:rPr>
        <w:t>10</w:t>
      </w:r>
      <w:r>
        <w:fldChar w:fldCharType="end"/>
      </w:r>
    </w:p>
    <w:p>
      <w:pPr>
        <w:pStyle w:val="7"/>
        <w:tabs>
          <w:tab w:val="right" w:leader="dot" w:pos="14562"/>
        </w:tabs>
      </w:pPr>
      <w:r>
        <w:fldChar w:fldCharType="begin"/>
      </w:r>
      <w:r>
        <w:instrText xml:space="preserve">Hyperlink \l "_Toc_2_2_0000000006"</w:instrText>
      </w:r>
      <w:r>
        <w:fldChar w:fldCharType="separate"/>
      </w:r>
      <w:r>
        <w:t>单位</w:t>
      </w:r>
      <w:r>
        <w:rPr>
          <w:rFonts w:hint="eastAsia"/>
        </w:rPr>
        <w:t>预算一般公共预算财政拨款基本支出表</w:t>
      </w:r>
      <w:r>
        <w:tab/>
      </w:r>
      <w:r>
        <w:rPr>
          <w:lang w:eastAsia="zh-CN"/>
        </w:rPr>
        <w:t>11</w:t>
      </w:r>
      <w:r>
        <w:fldChar w:fldCharType="end"/>
      </w:r>
    </w:p>
    <w:p>
      <w:pPr>
        <w:pStyle w:val="7"/>
        <w:tabs>
          <w:tab w:val="right" w:leader="dot" w:pos="14562"/>
        </w:tabs>
      </w:pPr>
      <w:r>
        <w:fldChar w:fldCharType="begin"/>
      </w:r>
      <w:r>
        <w:instrText xml:space="preserve">Hyperlink \l "_Toc_2_2_0000000007"</w:instrText>
      </w:r>
      <w:r>
        <w:fldChar w:fldCharType="separate"/>
      </w:r>
      <w:r>
        <w:t>单位</w:t>
      </w:r>
      <w:r>
        <w:rPr>
          <w:rFonts w:hint="eastAsia"/>
        </w:rPr>
        <w:t>预算政府基金预算财政拨款支出表</w:t>
      </w:r>
      <w:r>
        <w:tab/>
      </w:r>
      <w:r>
        <w:fldChar w:fldCharType="begin"/>
      </w:r>
      <w:r>
        <w:instrText xml:space="preserve">PAGEREF _Toc_2_2_0000000007 \h</w:instrText>
      </w:r>
      <w:r>
        <w:fldChar w:fldCharType="separate"/>
      </w:r>
      <w:r>
        <w:t>1</w:t>
      </w:r>
      <w:r>
        <w:rPr>
          <w:lang w:eastAsia="zh-CN"/>
        </w:rPr>
        <w:t>3</w:t>
      </w:r>
      <w:r>
        <w:fldChar w:fldCharType="end"/>
      </w:r>
      <w:r>
        <w:fldChar w:fldCharType="end"/>
      </w:r>
    </w:p>
    <w:p>
      <w:pPr>
        <w:pStyle w:val="7"/>
        <w:tabs>
          <w:tab w:val="right" w:leader="dot" w:pos="14562"/>
        </w:tabs>
      </w:pPr>
      <w:r>
        <w:fldChar w:fldCharType="begin"/>
      </w:r>
      <w:r>
        <w:instrText xml:space="preserve">Hyperlink \l "_Toc_2_2_0000000008"</w:instrText>
      </w:r>
      <w:r>
        <w:fldChar w:fldCharType="separate"/>
      </w:r>
      <w:r>
        <w:t>单位</w:t>
      </w:r>
      <w:r>
        <w:rPr>
          <w:rFonts w:hint="eastAsia"/>
        </w:rPr>
        <w:t>预算国有资本经营预算财政拨款支出表</w:t>
      </w:r>
      <w:r>
        <w:tab/>
      </w:r>
      <w:r>
        <w:fldChar w:fldCharType="begin"/>
      </w:r>
      <w:r>
        <w:instrText xml:space="preserve">PAGEREF _Toc_2_2_0000000008 \h</w:instrText>
      </w:r>
      <w:r>
        <w:fldChar w:fldCharType="separate"/>
      </w:r>
      <w:r>
        <w:t>1</w:t>
      </w:r>
      <w:r>
        <w:rPr>
          <w:lang w:eastAsia="zh-CN"/>
        </w:rPr>
        <w:t>4</w:t>
      </w:r>
      <w:r>
        <w:fldChar w:fldCharType="end"/>
      </w:r>
      <w:r>
        <w:fldChar w:fldCharType="end"/>
      </w:r>
    </w:p>
    <w:p>
      <w:pPr>
        <w:pStyle w:val="7"/>
        <w:tabs>
          <w:tab w:val="right" w:leader="dot" w:pos="14562"/>
        </w:tabs>
      </w:pPr>
      <w:r>
        <w:fldChar w:fldCharType="begin"/>
      </w:r>
      <w:r>
        <w:instrText xml:space="preserve">Hyperlink \l "_Toc_2_2_0000000009"</w:instrText>
      </w:r>
      <w:r>
        <w:fldChar w:fldCharType="separate"/>
      </w:r>
      <w:r>
        <w:t>单位</w:t>
      </w:r>
      <w:r>
        <w:rPr>
          <w:rFonts w:hint="eastAsia"/>
        </w:rPr>
        <w:t>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w:t>
      </w:r>
      <w:r>
        <w:rPr>
          <w:lang w:eastAsia="zh-CN"/>
        </w:rPr>
        <w:t>5</w:t>
      </w:r>
      <w:r>
        <w:fldChar w:fldCharType="end"/>
      </w:r>
      <w:r>
        <w:fldChar w:fldCharType="end"/>
      </w:r>
    </w:p>
    <w:p>
      <w:r>
        <w:fldChar w:fldCharType="end"/>
      </w:r>
    </w:p>
    <w:p>
      <w:r>
        <w:rPr>
          <w:rFonts w:ascii="方正楷体_GBK" w:eastAsia="方正楷体_GBK" w:cs="方正楷体_GBK"/>
          <w:b/>
          <w:color w:val="000000"/>
          <w:sz w:val="28"/>
        </w:rPr>
        <w:t>单位</w:t>
      </w:r>
      <w:r>
        <w:rPr>
          <w:rFonts w:hint="eastAsia" w:ascii="方正楷体_GBK" w:eastAsia="方正楷体_GBK" w:cs="方正楷体_GBK"/>
          <w:b/>
          <w:color w:val="000000"/>
          <w:sz w:val="28"/>
        </w:rPr>
        <w:t>预算信息公开情况说明</w:t>
      </w:r>
    </w:p>
    <w:p>
      <w:pPr>
        <w:pStyle w:val="7"/>
        <w:tabs>
          <w:tab w:val="right" w:leader="dot" w:pos="14562"/>
        </w:tabs>
      </w:pPr>
      <w:r>
        <w:fldChar w:fldCharType="begin"/>
      </w:r>
      <w:r>
        <w:instrText xml:space="preserve">TOC \o "3-3" \h \z \u </w:instrText>
      </w:r>
      <w:r>
        <w:fldChar w:fldCharType="separate"/>
      </w:r>
      <w:r>
        <w:t>一、单位</w:t>
      </w:r>
      <w:r>
        <w:rPr>
          <w:rFonts w:hint="eastAsia"/>
        </w:rPr>
        <w:t>职责及机构设置情况</w:t>
      </w:r>
      <w:r>
        <w:tab/>
      </w:r>
      <w:r>
        <w:t>16</w:t>
      </w:r>
    </w:p>
    <w:p>
      <w:pPr>
        <w:pStyle w:val="7"/>
        <w:tabs>
          <w:tab w:val="right" w:leader="dot" w:pos="14562"/>
        </w:tabs>
      </w:pPr>
      <w:r>
        <w:fldChar w:fldCharType="begin"/>
      </w:r>
      <w:r>
        <w:instrText xml:space="preserve">Hyperlink \l "_Toc_3_3_0000000011"</w:instrText>
      </w:r>
      <w:r>
        <w:fldChar w:fldCharType="separate"/>
      </w:r>
      <w:r>
        <w:t>二、单位</w:t>
      </w:r>
      <w:r>
        <w:rPr>
          <w:rFonts w:hint="eastAsia"/>
        </w:rPr>
        <w:t>预算安排的总体情况</w:t>
      </w:r>
      <w:r>
        <w:tab/>
      </w:r>
      <w:r>
        <w:fldChar w:fldCharType="begin"/>
      </w:r>
      <w:r>
        <w:instrText xml:space="preserve">PAGEREF _Toc_3_3_0000000011 \h</w:instrText>
      </w:r>
      <w:r>
        <w:fldChar w:fldCharType="separate"/>
      </w:r>
      <w:r>
        <w:t>1</w:t>
      </w:r>
      <w:r>
        <w:rPr>
          <w:lang w:eastAsia="zh-CN"/>
        </w:rPr>
        <w:t>7</w:t>
      </w:r>
      <w:r>
        <w:fldChar w:fldCharType="end"/>
      </w:r>
      <w:r>
        <w:fldChar w:fldCharType="end"/>
      </w:r>
    </w:p>
    <w:p>
      <w:pPr>
        <w:pStyle w:val="7"/>
        <w:tabs>
          <w:tab w:val="right" w:leader="dot" w:pos="14562"/>
        </w:tabs>
      </w:pPr>
      <w:r>
        <w:fldChar w:fldCharType="begin"/>
      </w:r>
      <w:r>
        <w:instrText xml:space="preserve">Hyperlink \l "_Toc_3_3_0000000012"</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w:t>
      </w:r>
      <w:r>
        <w:rPr>
          <w:lang w:eastAsia="zh-CN"/>
        </w:rPr>
        <w:t>8</w:t>
      </w:r>
      <w:r>
        <w:fldChar w:fldCharType="end"/>
      </w:r>
      <w:r>
        <w:fldChar w:fldCharType="end"/>
      </w:r>
    </w:p>
    <w:p>
      <w:pPr>
        <w:pStyle w:val="7"/>
        <w:tabs>
          <w:tab w:val="right" w:leader="dot" w:pos="14562"/>
        </w:tabs>
      </w:pPr>
      <w:r>
        <w:fldChar w:fldCharType="begin"/>
      </w:r>
      <w:r>
        <w:instrText xml:space="preserve">Hyperlink \l "_Toc_3_3_0000000013"</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w:t>
      </w:r>
      <w:r>
        <w:rPr>
          <w:lang w:eastAsia="zh-CN"/>
        </w:rPr>
        <w:t>8</w:t>
      </w:r>
      <w:r>
        <w:fldChar w:fldCharType="end"/>
      </w:r>
      <w:r>
        <w:fldChar w:fldCharType="end"/>
      </w:r>
    </w:p>
    <w:p>
      <w:pPr>
        <w:pStyle w:val="7"/>
        <w:tabs>
          <w:tab w:val="right" w:leader="dot" w:pos="14562"/>
        </w:tabs>
      </w:pPr>
      <w:r>
        <w:fldChar w:fldCharType="begin"/>
      </w:r>
      <w:r>
        <w:instrText xml:space="preserve">Hyperlink \l "_Toc_3_3_0000000014"</w:instrText>
      </w:r>
      <w:r>
        <w:fldChar w:fldCharType="separate"/>
      </w:r>
      <w:r>
        <w:rPr>
          <w:rFonts w:hint="eastAsia"/>
        </w:rPr>
        <w:t>五、预算绩效信息</w:t>
      </w:r>
      <w:r>
        <w:tab/>
      </w:r>
      <w:r>
        <w:fldChar w:fldCharType="begin"/>
      </w:r>
      <w:r>
        <w:instrText xml:space="preserve">PAGEREF _Toc_3_3_0000000014 \h</w:instrText>
      </w:r>
      <w:r>
        <w:fldChar w:fldCharType="separate"/>
      </w:r>
      <w:r>
        <w:t>1</w:t>
      </w:r>
      <w:r>
        <w:rPr>
          <w:lang w:eastAsia="zh-CN"/>
        </w:rPr>
        <w:t>9</w:t>
      </w:r>
      <w:r>
        <w:fldChar w:fldCharType="end"/>
      </w:r>
      <w:r>
        <w:fldChar w:fldCharType="end"/>
      </w:r>
    </w:p>
    <w:p>
      <w:pPr>
        <w:pStyle w:val="7"/>
        <w:tabs>
          <w:tab w:val="right" w:leader="dot" w:pos="14562"/>
        </w:tabs>
      </w:pPr>
      <w:r>
        <w:fldChar w:fldCharType="begin"/>
      </w:r>
      <w:r>
        <w:instrText xml:space="preserve">Hyperlink \l "_Toc_3_3_0000000015"</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rPr>
          <w:lang w:eastAsia="zh-CN"/>
        </w:rPr>
        <w:t>3</w:t>
      </w:r>
      <w:r>
        <w:fldChar w:fldCharType="end"/>
      </w:r>
      <w:r>
        <w:fldChar w:fldCharType="end"/>
      </w:r>
    </w:p>
    <w:p>
      <w:pPr>
        <w:pStyle w:val="7"/>
        <w:tabs>
          <w:tab w:val="right" w:leader="dot" w:pos="14562"/>
        </w:tabs>
      </w:pPr>
      <w:r>
        <w:fldChar w:fldCharType="begin"/>
      </w:r>
      <w:r>
        <w:instrText xml:space="preserve">Hyperlink \l "_Toc_3_3_0000000016"</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rPr>
          <w:lang w:eastAsia="zh-CN"/>
        </w:rPr>
        <w:t>3</w:t>
      </w:r>
      <w:r>
        <w:fldChar w:fldCharType="end"/>
      </w:r>
      <w:r>
        <w:fldChar w:fldCharType="end"/>
      </w:r>
    </w:p>
    <w:p>
      <w:pPr>
        <w:pStyle w:val="7"/>
        <w:tabs>
          <w:tab w:val="right" w:leader="dot" w:pos="14562"/>
        </w:tabs>
      </w:pPr>
      <w:r>
        <w:fldChar w:fldCharType="begin"/>
      </w:r>
      <w:r>
        <w:instrText xml:space="preserve">Hyperlink \l "_Toc_3_3_0000000017"</w:instrText>
      </w:r>
      <w:r>
        <w:fldChar w:fldCharType="separate"/>
      </w:r>
      <w:r>
        <w:rPr>
          <w:rFonts w:hint="eastAsia"/>
        </w:rPr>
        <w:t>八、名词解释</w:t>
      </w:r>
      <w:r>
        <w:tab/>
      </w:r>
      <w:r>
        <w:fldChar w:fldCharType="begin"/>
      </w:r>
      <w:r>
        <w:instrText xml:space="preserve">PAGEREF _Toc_3_3_0000000017 \h</w:instrText>
      </w:r>
      <w:r>
        <w:fldChar w:fldCharType="separate"/>
      </w:r>
      <w:r>
        <w:t>2</w:t>
      </w:r>
      <w:r>
        <w:rPr>
          <w:lang w:eastAsia="zh-CN"/>
        </w:rPr>
        <w:t>4</w:t>
      </w:r>
      <w:r>
        <w:fldChar w:fldCharType="end"/>
      </w:r>
      <w:r>
        <w:fldChar w:fldCharType="end"/>
      </w:r>
    </w:p>
    <w:p>
      <w:pPr>
        <w:pStyle w:val="7"/>
        <w:tabs>
          <w:tab w:val="right" w:leader="dot" w:pos="14562"/>
        </w:tabs>
      </w:pPr>
      <w:r>
        <w:fldChar w:fldCharType="begin"/>
      </w:r>
      <w:r>
        <w:instrText xml:space="preserve">Hyperlink \l "_Toc_3_3_0000000018"</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rPr>
          <w:lang w:eastAsia="zh-CN"/>
        </w:rPr>
        <w:t>5</w:t>
      </w:r>
      <w:r>
        <w:fldChar w:fldCharType="end"/>
      </w:r>
      <w:r>
        <w:fldChar w:fldCharType="end"/>
      </w:r>
    </w:p>
    <w:p>
      <w:r>
        <w:fldChar w:fldCharType="end"/>
      </w:r>
    </w:p>
    <w:p>
      <w:pPr>
        <w:jc w:val="center"/>
      </w:pP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pPr>
      <w:r>
        <w:rPr>
          <w:rFonts w:ascii="方正小标宋_GBK" w:eastAsia="方正小标宋_GBK" w:cs="方正小标宋_GBK"/>
          <w:color w:val="000000"/>
          <w:sz w:val="44"/>
        </w:rPr>
        <w:t xml:space="preserve"> </w:t>
      </w:r>
    </w:p>
    <w:p>
      <w:pPr>
        <w:jc w:val="center"/>
        <w:outlineLvl w:val="1"/>
        <w:rPr>
          <w:rFonts w:ascii="方正小标宋_GBK" w:eastAsia="方正小标宋_GBK" w:cs="方正小标宋_GBK"/>
          <w:color w:val="000000"/>
          <w:sz w:val="72"/>
          <w:lang w:eastAsia="zh-CN"/>
        </w:rPr>
      </w:pPr>
      <w:bookmarkStart w:id="0" w:name="_Toc_2_2_0000000001"/>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rPr>
          <w:rFonts w:ascii="方正小标宋_GBK" w:eastAsia="方正小标宋_GBK" w:cs="方正小标宋_GBK"/>
          <w:color w:val="000000"/>
          <w:sz w:val="72"/>
          <w:lang w:eastAsia="zh-CN"/>
        </w:rPr>
      </w:pPr>
    </w:p>
    <w:p>
      <w:pPr>
        <w:jc w:val="center"/>
        <w:outlineLvl w:val="1"/>
      </w:pPr>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val="en-US" w:eastAsia="zh-CN"/>
              </w:rPr>
            </w:pPr>
            <w:r>
              <w:t>101001</w:t>
            </w:r>
            <w:r>
              <w:rPr>
                <w:rFonts w:hint="eastAsia"/>
              </w:rPr>
              <w:t>高阳县</w:t>
            </w:r>
            <w:r>
              <w:rPr>
                <w:rFonts w:hint="eastAsia"/>
                <w:lang w:eastAsia="zh-CN"/>
              </w:rPr>
              <w:t>人大常委会办公室</w:t>
            </w:r>
            <w:r>
              <w:rPr>
                <w:rFonts w:hint="eastAsia"/>
                <w:lang w:val="en-US" w:eastAsia="zh-CN"/>
              </w:rPr>
              <w:t>(机关）</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6662"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rPr>
          <w:trHeight w:val="369" w:hRule="atLeast"/>
          <w:tblHeader/>
          <w:jc w:val="center"/>
        </w:trPr>
        <w:tc>
          <w:tcPr>
            <w:tcW w:w="850" w:type="dxa"/>
            <w:vMerge w:val="continue"/>
            <w:vAlign w:val="top"/>
          </w:tcPr>
          <w:p/>
        </w:tc>
        <w:tc>
          <w:tcPr>
            <w:tcW w:w="4536"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rPr>
          <w:trHeight w:val="369" w:hRule="atLeast"/>
          <w:tblHeader/>
          <w:jc w:val="center"/>
        </w:trPr>
        <w:tc>
          <w:tcPr>
            <w:tcW w:w="850" w:type="dxa"/>
            <w:vAlign w:val="center"/>
          </w:tcPr>
          <w:p>
            <w:pPr>
              <w:pStyle w:val="14"/>
            </w:pPr>
            <w:r>
              <w:rPr>
                <w:rFonts w:hint="eastAsia"/>
              </w:rPr>
              <w:t>栏次</w:t>
            </w:r>
          </w:p>
        </w:tc>
        <w:tc>
          <w:tcPr>
            <w:tcW w:w="4536"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rPr>
          <w:trHeight w:val="369" w:hRule="atLeast"/>
          <w:jc w:val="center"/>
        </w:trPr>
        <w:tc>
          <w:tcPr>
            <w:tcW w:w="850" w:type="dxa"/>
            <w:vAlign w:val="center"/>
          </w:tcPr>
          <w:p>
            <w:pPr>
              <w:pStyle w:val="17"/>
            </w:pPr>
            <w:r>
              <w:t>1</w:t>
            </w:r>
          </w:p>
        </w:tc>
        <w:tc>
          <w:tcPr>
            <w:tcW w:w="4536" w:type="dxa"/>
            <w:vAlign w:val="center"/>
          </w:tcPr>
          <w:p>
            <w:pPr>
              <w:pStyle w:val="16"/>
            </w:pPr>
            <w:r>
              <w:rPr>
                <w:rFonts w:hint="eastAsia"/>
              </w:rPr>
              <w:t>一、一般公共预算拨款收入</w:t>
            </w:r>
          </w:p>
        </w:tc>
        <w:tc>
          <w:tcPr>
            <w:tcW w:w="2126" w:type="dxa"/>
            <w:vAlign w:val="center"/>
          </w:tcPr>
          <w:p>
            <w:pPr>
              <w:pStyle w:val="15"/>
            </w:pPr>
            <w:r>
              <w:t>378.18</w:t>
            </w:r>
          </w:p>
        </w:tc>
        <w:tc>
          <w:tcPr>
            <w:tcW w:w="4535" w:type="dxa"/>
            <w:vAlign w:val="center"/>
          </w:tcPr>
          <w:p>
            <w:pPr>
              <w:pStyle w:val="16"/>
            </w:pPr>
            <w:r>
              <w:rPr>
                <w:rFonts w:hint="eastAsia"/>
              </w:rPr>
              <w:t>一、一般公共服务支出</w:t>
            </w:r>
          </w:p>
        </w:tc>
        <w:tc>
          <w:tcPr>
            <w:tcW w:w="2126" w:type="dxa"/>
            <w:vAlign w:val="center"/>
          </w:tcPr>
          <w:p>
            <w:pPr>
              <w:pStyle w:val="15"/>
            </w:pPr>
            <w:r>
              <w:t>322.87</w:t>
            </w:r>
          </w:p>
        </w:tc>
      </w:tr>
      <w:tr>
        <w:trPr>
          <w:trHeight w:val="369" w:hRule="atLeast"/>
          <w:jc w:val="center"/>
        </w:trPr>
        <w:tc>
          <w:tcPr>
            <w:tcW w:w="850" w:type="dxa"/>
            <w:vAlign w:val="center"/>
          </w:tcPr>
          <w:p>
            <w:pPr>
              <w:pStyle w:val="17"/>
            </w:pPr>
            <w:r>
              <w:t>2</w:t>
            </w:r>
          </w:p>
        </w:tc>
        <w:tc>
          <w:tcPr>
            <w:tcW w:w="4536"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rPr>
          <w:trHeight w:val="369" w:hRule="atLeast"/>
          <w:jc w:val="center"/>
        </w:trPr>
        <w:tc>
          <w:tcPr>
            <w:tcW w:w="850" w:type="dxa"/>
            <w:vAlign w:val="center"/>
          </w:tcPr>
          <w:p>
            <w:pPr>
              <w:pStyle w:val="17"/>
            </w:pPr>
            <w:r>
              <w:t>3</w:t>
            </w:r>
          </w:p>
        </w:tc>
        <w:tc>
          <w:tcPr>
            <w:tcW w:w="4536"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rPr>
          <w:trHeight w:val="369" w:hRule="atLeast"/>
          <w:jc w:val="center"/>
        </w:trPr>
        <w:tc>
          <w:tcPr>
            <w:tcW w:w="850" w:type="dxa"/>
            <w:vAlign w:val="center"/>
          </w:tcPr>
          <w:p>
            <w:pPr>
              <w:pStyle w:val="17"/>
            </w:pPr>
            <w:r>
              <w:t>4</w:t>
            </w:r>
          </w:p>
        </w:tc>
        <w:tc>
          <w:tcPr>
            <w:tcW w:w="4536"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rPr>
          <w:trHeight w:val="369" w:hRule="atLeast"/>
          <w:jc w:val="center"/>
        </w:trPr>
        <w:tc>
          <w:tcPr>
            <w:tcW w:w="850" w:type="dxa"/>
            <w:vAlign w:val="center"/>
          </w:tcPr>
          <w:p>
            <w:pPr>
              <w:pStyle w:val="17"/>
            </w:pPr>
            <w:r>
              <w:t>5</w:t>
            </w:r>
          </w:p>
        </w:tc>
        <w:tc>
          <w:tcPr>
            <w:tcW w:w="4536"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p>
        </w:tc>
      </w:tr>
      <w:tr>
        <w:trPr>
          <w:trHeight w:val="369" w:hRule="atLeast"/>
          <w:jc w:val="center"/>
        </w:trPr>
        <w:tc>
          <w:tcPr>
            <w:tcW w:w="850" w:type="dxa"/>
            <w:vAlign w:val="center"/>
          </w:tcPr>
          <w:p>
            <w:pPr>
              <w:pStyle w:val="17"/>
            </w:pPr>
            <w:r>
              <w:t>6</w:t>
            </w:r>
          </w:p>
        </w:tc>
        <w:tc>
          <w:tcPr>
            <w:tcW w:w="4536"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rPr>
          <w:trHeight w:val="369" w:hRule="atLeast"/>
          <w:jc w:val="center"/>
        </w:trPr>
        <w:tc>
          <w:tcPr>
            <w:tcW w:w="850" w:type="dxa"/>
            <w:vAlign w:val="center"/>
          </w:tcPr>
          <w:p>
            <w:pPr>
              <w:pStyle w:val="17"/>
            </w:pPr>
            <w:r>
              <w:t>7</w:t>
            </w:r>
          </w:p>
        </w:tc>
        <w:tc>
          <w:tcPr>
            <w:tcW w:w="4536"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rPr>
          <w:trHeight w:val="369" w:hRule="atLeast"/>
          <w:jc w:val="center"/>
        </w:trPr>
        <w:tc>
          <w:tcPr>
            <w:tcW w:w="850" w:type="dxa"/>
            <w:vAlign w:val="center"/>
          </w:tcPr>
          <w:p>
            <w:pPr>
              <w:pStyle w:val="17"/>
            </w:pPr>
            <w:r>
              <w:t>8</w:t>
            </w:r>
          </w:p>
        </w:tc>
        <w:tc>
          <w:tcPr>
            <w:tcW w:w="4536"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28.12</w:t>
            </w:r>
          </w:p>
        </w:tc>
      </w:tr>
      <w:tr>
        <w:trPr>
          <w:trHeight w:val="369" w:hRule="atLeast"/>
          <w:jc w:val="center"/>
        </w:trPr>
        <w:tc>
          <w:tcPr>
            <w:tcW w:w="850" w:type="dxa"/>
            <w:vAlign w:val="center"/>
          </w:tcPr>
          <w:p>
            <w:pPr>
              <w:pStyle w:val="17"/>
            </w:pPr>
            <w:r>
              <w:t>9</w:t>
            </w:r>
          </w:p>
        </w:tc>
        <w:tc>
          <w:tcPr>
            <w:tcW w:w="4536"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rPr>
          <w:trHeight w:val="369" w:hRule="atLeast"/>
          <w:jc w:val="center"/>
        </w:trPr>
        <w:tc>
          <w:tcPr>
            <w:tcW w:w="850" w:type="dxa"/>
            <w:vAlign w:val="center"/>
          </w:tcPr>
          <w:p>
            <w:pPr>
              <w:pStyle w:val="17"/>
            </w:pPr>
            <w:r>
              <w:t>10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9.61</w:t>
            </w:r>
          </w:p>
        </w:tc>
      </w:tr>
      <w:tr>
        <w:trPr>
          <w:trHeight w:val="369" w:hRule="atLeast"/>
          <w:jc w:val="center"/>
        </w:trPr>
        <w:tc>
          <w:tcPr>
            <w:tcW w:w="850" w:type="dxa"/>
            <w:vAlign w:val="center"/>
          </w:tcPr>
          <w:p>
            <w:pPr>
              <w:pStyle w:val="17"/>
            </w:pPr>
            <w:r>
              <w:t>11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rPr>
          <w:trHeight w:val="369" w:hRule="atLeast"/>
          <w:jc w:val="center"/>
        </w:trPr>
        <w:tc>
          <w:tcPr>
            <w:tcW w:w="850" w:type="dxa"/>
            <w:vAlign w:val="center"/>
          </w:tcPr>
          <w:p>
            <w:pPr>
              <w:pStyle w:val="17"/>
            </w:pPr>
            <w:r>
              <w:t>12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rPr>
          <w:trHeight w:val="369" w:hRule="atLeast"/>
          <w:jc w:val="center"/>
        </w:trPr>
        <w:tc>
          <w:tcPr>
            <w:tcW w:w="850" w:type="dxa"/>
            <w:vAlign w:val="center"/>
          </w:tcPr>
          <w:p>
            <w:pPr>
              <w:pStyle w:val="17"/>
            </w:pPr>
            <w:r>
              <w:t>13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rPr>
          <w:trHeight w:val="369" w:hRule="atLeast"/>
          <w:jc w:val="center"/>
        </w:trPr>
        <w:tc>
          <w:tcPr>
            <w:tcW w:w="850" w:type="dxa"/>
            <w:vAlign w:val="center"/>
          </w:tcPr>
          <w:p>
            <w:pPr>
              <w:pStyle w:val="17"/>
            </w:pPr>
            <w:r>
              <w:t>14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rPr>
          <w:trHeight w:val="369" w:hRule="atLeast"/>
          <w:jc w:val="center"/>
        </w:trPr>
        <w:tc>
          <w:tcPr>
            <w:tcW w:w="850" w:type="dxa"/>
            <w:vAlign w:val="center"/>
          </w:tcPr>
          <w:p>
            <w:pPr>
              <w:pStyle w:val="17"/>
            </w:pPr>
            <w:r>
              <w:t>15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rPr>
          <w:trHeight w:val="369" w:hRule="atLeast"/>
          <w:jc w:val="center"/>
        </w:trPr>
        <w:tc>
          <w:tcPr>
            <w:tcW w:w="850" w:type="dxa"/>
            <w:vAlign w:val="center"/>
          </w:tcPr>
          <w:p>
            <w:pPr>
              <w:pStyle w:val="17"/>
            </w:pPr>
            <w:r>
              <w:t>16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rPr>
          <w:trHeight w:val="369" w:hRule="atLeast"/>
          <w:jc w:val="center"/>
        </w:trPr>
        <w:tc>
          <w:tcPr>
            <w:tcW w:w="850" w:type="dxa"/>
            <w:vAlign w:val="center"/>
          </w:tcPr>
          <w:p>
            <w:pPr>
              <w:pStyle w:val="17"/>
            </w:pPr>
            <w:r>
              <w:t>17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rPr>
          <w:trHeight w:val="369" w:hRule="atLeast"/>
          <w:jc w:val="center"/>
        </w:trPr>
        <w:tc>
          <w:tcPr>
            <w:tcW w:w="850" w:type="dxa"/>
            <w:vAlign w:val="center"/>
          </w:tcPr>
          <w:p>
            <w:pPr>
              <w:pStyle w:val="17"/>
            </w:pPr>
            <w:r>
              <w:t>18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rPr>
          <w:trHeight w:val="369" w:hRule="atLeast"/>
          <w:jc w:val="center"/>
        </w:trPr>
        <w:tc>
          <w:tcPr>
            <w:tcW w:w="850" w:type="dxa"/>
            <w:vAlign w:val="center"/>
          </w:tcPr>
          <w:p>
            <w:pPr>
              <w:pStyle w:val="17"/>
            </w:pPr>
            <w:r>
              <w:t>19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rPr>
          <w:trHeight w:val="369" w:hRule="atLeast"/>
          <w:jc w:val="center"/>
        </w:trPr>
        <w:tc>
          <w:tcPr>
            <w:tcW w:w="850" w:type="dxa"/>
            <w:vAlign w:val="center"/>
          </w:tcPr>
          <w:p>
            <w:pPr>
              <w:pStyle w:val="17"/>
            </w:pPr>
            <w:r>
              <w:t>20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17.58</w:t>
            </w:r>
          </w:p>
        </w:tc>
      </w:tr>
      <w:tr>
        <w:trPr>
          <w:trHeight w:val="369" w:hRule="atLeast"/>
          <w:jc w:val="center"/>
        </w:trPr>
        <w:tc>
          <w:tcPr>
            <w:tcW w:w="850" w:type="dxa"/>
            <w:vAlign w:val="center"/>
          </w:tcPr>
          <w:p>
            <w:pPr>
              <w:pStyle w:val="17"/>
            </w:pPr>
            <w:r>
              <w:t>21</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rPr>
          <w:trHeight w:val="369" w:hRule="atLeast"/>
          <w:jc w:val="center"/>
        </w:trPr>
        <w:tc>
          <w:tcPr>
            <w:tcW w:w="850" w:type="dxa"/>
            <w:vAlign w:val="center"/>
          </w:tcPr>
          <w:p>
            <w:pPr>
              <w:pStyle w:val="17"/>
            </w:pPr>
            <w:r>
              <w:t>22</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rPr>
          <w:trHeight w:val="369" w:hRule="atLeast"/>
          <w:jc w:val="center"/>
        </w:trPr>
        <w:tc>
          <w:tcPr>
            <w:tcW w:w="850" w:type="dxa"/>
            <w:vAlign w:val="center"/>
          </w:tcPr>
          <w:p>
            <w:pPr>
              <w:pStyle w:val="17"/>
            </w:pPr>
            <w:r>
              <w:t>23</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rPr>
          <w:trHeight w:val="369" w:hRule="atLeast"/>
          <w:jc w:val="center"/>
        </w:trPr>
        <w:tc>
          <w:tcPr>
            <w:tcW w:w="850" w:type="dxa"/>
            <w:vAlign w:val="center"/>
          </w:tcPr>
          <w:p>
            <w:pPr>
              <w:pStyle w:val="17"/>
            </w:pPr>
            <w:r>
              <w:t>24</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rPr>
          <w:trHeight w:val="369" w:hRule="atLeast"/>
          <w:jc w:val="center"/>
        </w:trPr>
        <w:tc>
          <w:tcPr>
            <w:tcW w:w="850" w:type="dxa"/>
            <w:vAlign w:val="center"/>
          </w:tcPr>
          <w:p>
            <w:pPr>
              <w:pStyle w:val="17"/>
            </w:pPr>
            <w:r>
              <w:t>25</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rPr>
          <w:trHeight w:val="369" w:hRule="atLeast"/>
          <w:jc w:val="center"/>
        </w:trPr>
        <w:tc>
          <w:tcPr>
            <w:tcW w:w="850" w:type="dxa"/>
            <w:vAlign w:val="center"/>
          </w:tcPr>
          <w:p>
            <w:pPr>
              <w:pStyle w:val="17"/>
            </w:pPr>
            <w:r>
              <w:t>26</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rPr>
          <w:trHeight w:val="369" w:hRule="atLeast"/>
          <w:jc w:val="center"/>
        </w:trPr>
        <w:tc>
          <w:tcPr>
            <w:tcW w:w="850" w:type="dxa"/>
            <w:vAlign w:val="center"/>
          </w:tcPr>
          <w:p>
            <w:pPr>
              <w:pStyle w:val="17"/>
            </w:pPr>
            <w:r>
              <w:t>27</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rPr>
          <w:trHeight w:val="369" w:hRule="atLeast"/>
          <w:jc w:val="center"/>
        </w:trPr>
        <w:tc>
          <w:tcPr>
            <w:tcW w:w="850" w:type="dxa"/>
            <w:vAlign w:val="center"/>
          </w:tcPr>
          <w:p>
            <w:pPr>
              <w:pStyle w:val="17"/>
            </w:pPr>
            <w:r>
              <w:t>28</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rPr>
          <w:trHeight w:val="369" w:hRule="atLeast"/>
          <w:jc w:val="center"/>
        </w:trPr>
        <w:tc>
          <w:tcPr>
            <w:tcW w:w="850" w:type="dxa"/>
            <w:vAlign w:val="center"/>
          </w:tcPr>
          <w:p>
            <w:pPr>
              <w:pStyle w:val="17"/>
            </w:pPr>
            <w:r>
              <w:t>29</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rPr>
          <w:trHeight w:val="369" w:hRule="atLeast"/>
          <w:jc w:val="center"/>
        </w:trPr>
        <w:tc>
          <w:tcPr>
            <w:tcW w:w="850" w:type="dxa"/>
            <w:vAlign w:val="center"/>
          </w:tcPr>
          <w:p>
            <w:pPr>
              <w:pStyle w:val="17"/>
            </w:pPr>
            <w:r>
              <w:t>30</w:t>
            </w:r>
          </w:p>
        </w:tc>
        <w:tc>
          <w:tcPr>
            <w:tcW w:w="4536"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rPr>
          <w:trHeight w:val="369" w:hRule="atLeast"/>
          <w:jc w:val="center"/>
        </w:trPr>
        <w:tc>
          <w:tcPr>
            <w:tcW w:w="850" w:type="dxa"/>
            <w:vAlign w:val="center"/>
          </w:tcPr>
          <w:p>
            <w:pPr>
              <w:pStyle w:val="17"/>
            </w:pPr>
            <w:r>
              <w:t>31</w:t>
            </w:r>
          </w:p>
        </w:tc>
        <w:tc>
          <w:tcPr>
            <w:tcW w:w="4536" w:type="dxa"/>
            <w:vAlign w:val="center"/>
          </w:tcPr>
          <w:p>
            <w:pPr>
              <w:pStyle w:val="18"/>
            </w:pPr>
            <w:r>
              <w:rPr>
                <w:rFonts w:hint="eastAsia"/>
              </w:rPr>
              <w:t>本年收入合计</w:t>
            </w:r>
          </w:p>
        </w:tc>
        <w:tc>
          <w:tcPr>
            <w:tcW w:w="2126" w:type="dxa"/>
            <w:vAlign w:val="center"/>
          </w:tcPr>
          <w:p>
            <w:pPr>
              <w:pStyle w:val="19"/>
            </w:pPr>
            <w:r>
              <w:t>378.18</w:t>
            </w:r>
          </w:p>
        </w:tc>
        <w:tc>
          <w:tcPr>
            <w:tcW w:w="4535" w:type="dxa"/>
            <w:vAlign w:val="center"/>
          </w:tcPr>
          <w:p>
            <w:pPr>
              <w:pStyle w:val="18"/>
            </w:pPr>
            <w:r>
              <w:rPr>
                <w:rFonts w:hint="eastAsia"/>
              </w:rPr>
              <w:t>本年支出合计</w:t>
            </w:r>
          </w:p>
        </w:tc>
        <w:tc>
          <w:tcPr>
            <w:tcW w:w="2126" w:type="dxa"/>
            <w:vAlign w:val="center"/>
          </w:tcPr>
          <w:p>
            <w:pPr>
              <w:pStyle w:val="19"/>
            </w:pPr>
            <w:r>
              <w:t>378.18</w:t>
            </w:r>
          </w:p>
        </w:tc>
      </w:tr>
      <w:tr>
        <w:trPr>
          <w:trHeight w:val="369" w:hRule="atLeast"/>
          <w:jc w:val="center"/>
        </w:trPr>
        <w:tc>
          <w:tcPr>
            <w:tcW w:w="850" w:type="dxa"/>
            <w:vAlign w:val="center"/>
          </w:tcPr>
          <w:p>
            <w:pPr>
              <w:pStyle w:val="17"/>
            </w:pPr>
            <w:r>
              <w:t>32</w:t>
            </w:r>
          </w:p>
        </w:tc>
        <w:tc>
          <w:tcPr>
            <w:tcW w:w="4536"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rPr>
          <w:trHeight w:val="369" w:hRule="atLeast"/>
          <w:jc w:val="center"/>
        </w:trPr>
        <w:tc>
          <w:tcPr>
            <w:tcW w:w="850" w:type="dxa"/>
            <w:vAlign w:val="center"/>
          </w:tcPr>
          <w:p>
            <w:pPr>
              <w:pStyle w:val="17"/>
            </w:pPr>
            <w:r>
              <w:t>33</w:t>
            </w:r>
          </w:p>
        </w:tc>
        <w:tc>
          <w:tcPr>
            <w:tcW w:w="4536" w:type="dxa"/>
            <w:vAlign w:val="center"/>
          </w:tcPr>
          <w:p>
            <w:pPr>
              <w:pStyle w:val="18"/>
            </w:pPr>
            <w:r>
              <w:rPr>
                <w:rFonts w:hint="eastAsia"/>
              </w:rPr>
              <w:t>收入总计</w:t>
            </w:r>
          </w:p>
        </w:tc>
        <w:tc>
          <w:tcPr>
            <w:tcW w:w="2126" w:type="dxa"/>
            <w:vAlign w:val="center"/>
          </w:tcPr>
          <w:p>
            <w:pPr>
              <w:pStyle w:val="19"/>
            </w:pPr>
            <w:r>
              <w:t>378.18</w:t>
            </w:r>
          </w:p>
        </w:tc>
        <w:tc>
          <w:tcPr>
            <w:tcW w:w="4535" w:type="dxa"/>
            <w:vAlign w:val="center"/>
          </w:tcPr>
          <w:p>
            <w:pPr>
              <w:pStyle w:val="18"/>
            </w:pPr>
            <w:r>
              <w:rPr>
                <w:rFonts w:hint="eastAsia"/>
              </w:rPr>
              <w:t>支出总计</w:t>
            </w:r>
          </w:p>
        </w:tc>
        <w:tc>
          <w:tcPr>
            <w:tcW w:w="2126" w:type="dxa"/>
            <w:vAlign w:val="center"/>
          </w:tcPr>
          <w:p>
            <w:pPr>
              <w:pStyle w:val="19"/>
            </w:pPr>
            <w:r>
              <w:t>378.18</w:t>
            </w:r>
          </w:p>
        </w:tc>
      </w:tr>
    </w:tbl>
    <w:p>
      <w:pPr>
        <w:sectPr>
          <w:footerReference r:id="rId4" w:type="default"/>
          <w:footerReference r:id="rId5" w:type="even"/>
          <w:pgSz w:w="16840" w:h="11900" w:orient="landscape"/>
          <w:pgMar w:top="1361" w:right="1020" w:bottom="1134" w:left="1020" w:header="720" w:footer="720" w:gutter="0"/>
          <w:pgNumType w:fmt="decimal" w:start="1"/>
          <w:cols w:space="720" w:num="1"/>
          <w:docGrid w:linePitch="326"/>
        </w:sectPr>
      </w:pPr>
    </w:p>
    <w:p>
      <w:pPr>
        <w:jc w:val="center"/>
        <w:outlineLvl w:val="1"/>
      </w:pPr>
      <w:bookmarkStart w:id="1" w:name="_Toc_2_2_0000000002"/>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2"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rPr>
          <w:trHeight w:val="369" w:hRule="atLeast"/>
          <w:tblHeader/>
          <w:jc w:val="center"/>
        </w:trPr>
        <w:tc>
          <w:tcPr>
            <w:tcW w:w="680" w:type="dxa"/>
            <w:vMerge w:val="continue"/>
            <w:vAlign w:val="top"/>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vAlign w:val="top"/>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vAlign w:val="top"/>
          </w:tcPr>
          <w:p/>
        </w:tc>
      </w:tr>
      <w:tr>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378.18</w:t>
            </w:r>
          </w:p>
        </w:tc>
        <w:tc>
          <w:tcPr>
            <w:tcW w:w="1134" w:type="dxa"/>
            <w:vAlign w:val="center"/>
          </w:tcPr>
          <w:p>
            <w:pPr>
              <w:pStyle w:val="19"/>
            </w:pPr>
            <w:r>
              <w:t>378.18</w:t>
            </w:r>
          </w:p>
        </w:tc>
        <w:tc>
          <w:tcPr>
            <w:tcW w:w="1134" w:type="dxa"/>
            <w:vAlign w:val="center"/>
          </w:tcPr>
          <w:p>
            <w:pPr>
              <w:pStyle w:val="19"/>
            </w:pPr>
            <w:r>
              <w:t>378.18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rPr>
                <w:rFonts w:hint="eastAsia"/>
              </w:rPr>
              <w:t>一般公共服务支出</w:t>
            </w:r>
          </w:p>
        </w:tc>
        <w:tc>
          <w:tcPr>
            <w:tcW w:w="1134" w:type="dxa"/>
            <w:vAlign w:val="center"/>
          </w:tcPr>
          <w:p>
            <w:pPr>
              <w:pStyle w:val="15"/>
            </w:pPr>
            <w:r>
              <w:t>322.87</w:t>
            </w:r>
          </w:p>
        </w:tc>
        <w:tc>
          <w:tcPr>
            <w:tcW w:w="1134" w:type="dxa"/>
            <w:vAlign w:val="center"/>
          </w:tcPr>
          <w:p>
            <w:pPr>
              <w:pStyle w:val="15"/>
            </w:pPr>
            <w:r>
              <w:t>322.87</w:t>
            </w:r>
          </w:p>
        </w:tc>
        <w:tc>
          <w:tcPr>
            <w:tcW w:w="1134" w:type="dxa"/>
            <w:vAlign w:val="center"/>
          </w:tcPr>
          <w:p>
            <w:pPr>
              <w:pStyle w:val="15"/>
            </w:pPr>
            <w:r>
              <w:t>322.87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3</w:t>
            </w:r>
          </w:p>
        </w:tc>
        <w:tc>
          <w:tcPr>
            <w:tcW w:w="992" w:type="dxa"/>
            <w:vAlign w:val="center"/>
          </w:tcPr>
          <w:p>
            <w:pPr>
              <w:pStyle w:val="16"/>
            </w:pPr>
            <w:r>
              <w:t>20101</w:t>
            </w:r>
          </w:p>
        </w:tc>
        <w:tc>
          <w:tcPr>
            <w:tcW w:w="1559" w:type="dxa"/>
            <w:vAlign w:val="center"/>
          </w:tcPr>
          <w:p>
            <w:pPr>
              <w:pStyle w:val="16"/>
            </w:pPr>
            <w:r>
              <w:rPr>
                <w:rFonts w:hint="eastAsia"/>
              </w:rPr>
              <w:t>人大事务</w:t>
            </w:r>
          </w:p>
        </w:tc>
        <w:tc>
          <w:tcPr>
            <w:tcW w:w="1134" w:type="dxa"/>
            <w:vAlign w:val="center"/>
          </w:tcPr>
          <w:p>
            <w:pPr>
              <w:pStyle w:val="15"/>
            </w:pPr>
            <w:r>
              <w:t>322.87</w:t>
            </w:r>
          </w:p>
        </w:tc>
        <w:tc>
          <w:tcPr>
            <w:tcW w:w="1134" w:type="dxa"/>
            <w:vAlign w:val="center"/>
          </w:tcPr>
          <w:p>
            <w:pPr>
              <w:pStyle w:val="15"/>
            </w:pPr>
            <w:r>
              <w:t>322.87</w:t>
            </w:r>
          </w:p>
        </w:tc>
        <w:tc>
          <w:tcPr>
            <w:tcW w:w="1134" w:type="dxa"/>
            <w:vAlign w:val="center"/>
          </w:tcPr>
          <w:p>
            <w:pPr>
              <w:pStyle w:val="15"/>
            </w:pPr>
            <w:r>
              <w:t>322.87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4</w:t>
            </w:r>
          </w:p>
        </w:tc>
        <w:tc>
          <w:tcPr>
            <w:tcW w:w="992" w:type="dxa"/>
            <w:vAlign w:val="center"/>
          </w:tcPr>
          <w:p>
            <w:pPr>
              <w:pStyle w:val="16"/>
            </w:pPr>
            <w:r>
              <w:t>2010101</w:t>
            </w:r>
          </w:p>
        </w:tc>
        <w:tc>
          <w:tcPr>
            <w:tcW w:w="1559" w:type="dxa"/>
            <w:vAlign w:val="center"/>
          </w:tcPr>
          <w:p>
            <w:pPr>
              <w:pStyle w:val="16"/>
            </w:pPr>
            <w:r>
              <w:rPr>
                <w:rFonts w:hint="eastAsia"/>
              </w:rPr>
              <w:t>行政运行</w:t>
            </w:r>
          </w:p>
        </w:tc>
        <w:tc>
          <w:tcPr>
            <w:tcW w:w="1134" w:type="dxa"/>
            <w:vAlign w:val="center"/>
          </w:tcPr>
          <w:p>
            <w:pPr>
              <w:pStyle w:val="15"/>
            </w:pPr>
            <w:r>
              <w:t>246.87</w:t>
            </w:r>
          </w:p>
        </w:tc>
        <w:tc>
          <w:tcPr>
            <w:tcW w:w="1134" w:type="dxa"/>
            <w:vAlign w:val="center"/>
          </w:tcPr>
          <w:p>
            <w:pPr>
              <w:pStyle w:val="15"/>
            </w:pPr>
            <w:r>
              <w:t>246.87</w:t>
            </w:r>
          </w:p>
        </w:tc>
        <w:tc>
          <w:tcPr>
            <w:tcW w:w="1134" w:type="dxa"/>
            <w:vAlign w:val="center"/>
          </w:tcPr>
          <w:p>
            <w:pPr>
              <w:pStyle w:val="15"/>
            </w:pPr>
            <w:r>
              <w:t>246.87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5</w:t>
            </w:r>
          </w:p>
        </w:tc>
        <w:tc>
          <w:tcPr>
            <w:tcW w:w="992" w:type="dxa"/>
            <w:vAlign w:val="center"/>
          </w:tcPr>
          <w:p>
            <w:pPr>
              <w:pStyle w:val="16"/>
            </w:pPr>
            <w:r>
              <w:t>2010104</w:t>
            </w:r>
          </w:p>
        </w:tc>
        <w:tc>
          <w:tcPr>
            <w:tcW w:w="1559" w:type="dxa"/>
            <w:vAlign w:val="center"/>
          </w:tcPr>
          <w:p>
            <w:pPr>
              <w:pStyle w:val="16"/>
            </w:pPr>
            <w:r>
              <w:rPr>
                <w:rFonts w:hint="eastAsia"/>
              </w:rPr>
              <w:t>人大会议</w:t>
            </w:r>
          </w:p>
        </w:tc>
        <w:tc>
          <w:tcPr>
            <w:tcW w:w="1134" w:type="dxa"/>
            <w:vAlign w:val="center"/>
          </w:tcPr>
          <w:p>
            <w:pPr>
              <w:pStyle w:val="15"/>
            </w:pPr>
            <w:r>
              <w:t>36.00</w:t>
            </w:r>
          </w:p>
        </w:tc>
        <w:tc>
          <w:tcPr>
            <w:tcW w:w="1134" w:type="dxa"/>
            <w:vAlign w:val="center"/>
          </w:tcPr>
          <w:p>
            <w:pPr>
              <w:pStyle w:val="15"/>
            </w:pPr>
            <w:r>
              <w:t>36.00</w:t>
            </w:r>
          </w:p>
        </w:tc>
        <w:tc>
          <w:tcPr>
            <w:tcW w:w="1134" w:type="dxa"/>
            <w:vAlign w:val="center"/>
          </w:tcPr>
          <w:p>
            <w:pPr>
              <w:pStyle w:val="15"/>
            </w:pPr>
            <w:r>
              <w:t>36.00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6</w:t>
            </w:r>
          </w:p>
        </w:tc>
        <w:tc>
          <w:tcPr>
            <w:tcW w:w="992" w:type="dxa"/>
            <w:vAlign w:val="center"/>
          </w:tcPr>
          <w:p>
            <w:pPr>
              <w:pStyle w:val="16"/>
            </w:pPr>
            <w:r>
              <w:t>2010106</w:t>
            </w:r>
          </w:p>
        </w:tc>
        <w:tc>
          <w:tcPr>
            <w:tcW w:w="1559" w:type="dxa"/>
            <w:vAlign w:val="center"/>
          </w:tcPr>
          <w:p>
            <w:pPr>
              <w:pStyle w:val="16"/>
            </w:pPr>
            <w:r>
              <w:rPr>
                <w:rFonts w:hint="eastAsia"/>
              </w:rPr>
              <w:t>人大监督</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r>
              <w:t>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7</w:t>
            </w:r>
          </w:p>
        </w:tc>
        <w:tc>
          <w:tcPr>
            <w:tcW w:w="992" w:type="dxa"/>
            <w:vAlign w:val="center"/>
          </w:tcPr>
          <w:p>
            <w:pPr>
              <w:pStyle w:val="16"/>
            </w:pPr>
            <w:r>
              <w:t>2010108</w:t>
            </w:r>
          </w:p>
        </w:tc>
        <w:tc>
          <w:tcPr>
            <w:tcW w:w="1559" w:type="dxa"/>
            <w:vAlign w:val="center"/>
          </w:tcPr>
          <w:p>
            <w:pPr>
              <w:pStyle w:val="16"/>
            </w:pPr>
            <w:r>
              <w:rPr>
                <w:rFonts w:hint="eastAsia"/>
              </w:rPr>
              <w:t>代表工作</w:t>
            </w:r>
          </w:p>
        </w:tc>
        <w:tc>
          <w:tcPr>
            <w:tcW w:w="1134" w:type="dxa"/>
            <w:vAlign w:val="center"/>
          </w:tcPr>
          <w:p>
            <w:pPr>
              <w:pStyle w:val="15"/>
            </w:pPr>
            <w:r>
              <w:t>30.00</w:t>
            </w:r>
          </w:p>
        </w:tc>
        <w:tc>
          <w:tcPr>
            <w:tcW w:w="1134" w:type="dxa"/>
            <w:vAlign w:val="center"/>
          </w:tcPr>
          <w:p>
            <w:pPr>
              <w:pStyle w:val="15"/>
            </w:pPr>
            <w:r>
              <w:t>30.00</w:t>
            </w:r>
          </w:p>
        </w:tc>
        <w:tc>
          <w:tcPr>
            <w:tcW w:w="1134" w:type="dxa"/>
            <w:vAlign w:val="center"/>
          </w:tcPr>
          <w:p>
            <w:pPr>
              <w:pStyle w:val="15"/>
            </w:pPr>
            <w:r>
              <w:t>30.00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8</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28.12</w:t>
            </w:r>
          </w:p>
        </w:tc>
        <w:tc>
          <w:tcPr>
            <w:tcW w:w="1134" w:type="dxa"/>
            <w:vAlign w:val="center"/>
          </w:tcPr>
          <w:p>
            <w:pPr>
              <w:pStyle w:val="15"/>
            </w:pPr>
            <w:r>
              <w:t>28.12</w:t>
            </w:r>
          </w:p>
        </w:tc>
        <w:tc>
          <w:tcPr>
            <w:tcW w:w="1134" w:type="dxa"/>
            <w:vAlign w:val="center"/>
          </w:tcPr>
          <w:p>
            <w:pPr>
              <w:pStyle w:val="15"/>
            </w:pPr>
            <w:r>
              <w:t>28.12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9</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28.12</w:t>
            </w:r>
          </w:p>
        </w:tc>
        <w:tc>
          <w:tcPr>
            <w:tcW w:w="1134" w:type="dxa"/>
            <w:vAlign w:val="center"/>
          </w:tcPr>
          <w:p>
            <w:pPr>
              <w:pStyle w:val="15"/>
            </w:pPr>
            <w:r>
              <w:t>28.12</w:t>
            </w:r>
          </w:p>
        </w:tc>
        <w:tc>
          <w:tcPr>
            <w:tcW w:w="1134" w:type="dxa"/>
            <w:vAlign w:val="center"/>
          </w:tcPr>
          <w:p>
            <w:pPr>
              <w:pStyle w:val="15"/>
            </w:pPr>
            <w:r>
              <w:t>28.12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10</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28.12</w:t>
            </w:r>
          </w:p>
        </w:tc>
        <w:tc>
          <w:tcPr>
            <w:tcW w:w="1134" w:type="dxa"/>
            <w:vAlign w:val="center"/>
          </w:tcPr>
          <w:p>
            <w:pPr>
              <w:pStyle w:val="15"/>
            </w:pPr>
            <w:r>
              <w:t>28.12</w:t>
            </w:r>
          </w:p>
        </w:tc>
        <w:tc>
          <w:tcPr>
            <w:tcW w:w="1134" w:type="dxa"/>
            <w:vAlign w:val="center"/>
          </w:tcPr>
          <w:p>
            <w:pPr>
              <w:pStyle w:val="15"/>
            </w:pPr>
            <w:r>
              <w:t>28.12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11</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9.61</w:t>
            </w:r>
          </w:p>
        </w:tc>
        <w:tc>
          <w:tcPr>
            <w:tcW w:w="1134" w:type="dxa"/>
            <w:vAlign w:val="center"/>
          </w:tcPr>
          <w:p>
            <w:pPr>
              <w:pStyle w:val="15"/>
            </w:pPr>
            <w:r>
              <w:t>9.61</w:t>
            </w:r>
          </w:p>
        </w:tc>
        <w:tc>
          <w:tcPr>
            <w:tcW w:w="1134" w:type="dxa"/>
            <w:vAlign w:val="center"/>
          </w:tcPr>
          <w:p>
            <w:pPr>
              <w:pStyle w:val="15"/>
            </w:pPr>
            <w:r>
              <w:t>9.61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12</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9.61</w:t>
            </w:r>
          </w:p>
        </w:tc>
        <w:tc>
          <w:tcPr>
            <w:tcW w:w="1134" w:type="dxa"/>
            <w:vAlign w:val="center"/>
          </w:tcPr>
          <w:p>
            <w:pPr>
              <w:pStyle w:val="15"/>
            </w:pPr>
            <w:r>
              <w:t>9.61</w:t>
            </w:r>
          </w:p>
        </w:tc>
        <w:tc>
          <w:tcPr>
            <w:tcW w:w="1134" w:type="dxa"/>
            <w:vAlign w:val="center"/>
          </w:tcPr>
          <w:p>
            <w:pPr>
              <w:pStyle w:val="15"/>
            </w:pPr>
            <w:r>
              <w:t>9.61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13</w:t>
            </w:r>
          </w:p>
        </w:tc>
        <w:tc>
          <w:tcPr>
            <w:tcW w:w="992" w:type="dxa"/>
            <w:vAlign w:val="center"/>
          </w:tcPr>
          <w:p>
            <w:pPr>
              <w:pStyle w:val="16"/>
            </w:pPr>
            <w:r>
              <w:t>2101101</w:t>
            </w:r>
          </w:p>
        </w:tc>
        <w:tc>
          <w:tcPr>
            <w:tcW w:w="1559" w:type="dxa"/>
            <w:vAlign w:val="center"/>
          </w:tcPr>
          <w:p>
            <w:pPr>
              <w:pStyle w:val="16"/>
            </w:pPr>
            <w:r>
              <w:rPr>
                <w:rFonts w:hint="eastAsia"/>
              </w:rPr>
              <w:t>行政单位医疗</w:t>
            </w:r>
          </w:p>
        </w:tc>
        <w:tc>
          <w:tcPr>
            <w:tcW w:w="1134" w:type="dxa"/>
            <w:vAlign w:val="center"/>
          </w:tcPr>
          <w:p>
            <w:pPr>
              <w:pStyle w:val="15"/>
            </w:pPr>
            <w:r>
              <w:t>9.61</w:t>
            </w:r>
          </w:p>
        </w:tc>
        <w:tc>
          <w:tcPr>
            <w:tcW w:w="1134" w:type="dxa"/>
            <w:vAlign w:val="center"/>
          </w:tcPr>
          <w:p>
            <w:pPr>
              <w:pStyle w:val="15"/>
            </w:pPr>
            <w:r>
              <w:t>9.61</w:t>
            </w:r>
          </w:p>
        </w:tc>
        <w:tc>
          <w:tcPr>
            <w:tcW w:w="1134" w:type="dxa"/>
            <w:vAlign w:val="center"/>
          </w:tcPr>
          <w:p>
            <w:pPr>
              <w:pStyle w:val="15"/>
            </w:pPr>
            <w:r>
              <w:t>9.61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14</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17.58</w:t>
            </w:r>
          </w:p>
        </w:tc>
        <w:tc>
          <w:tcPr>
            <w:tcW w:w="1134" w:type="dxa"/>
            <w:vAlign w:val="center"/>
          </w:tcPr>
          <w:p>
            <w:pPr>
              <w:pStyle w:val="15"/>
            </w:pPr>
            <w:r>
              <w:t>17.58</w:t>
            </w:r>
          </w:p>
        </w:tc>
        <w:tc>
          <w:tcPr>
            <w:tcW w:w="1134" w:type="dxa"/>
            <w:vAlign w:val="center"/>
          </w:tcPr>
          <w:p>
            <w:pPr>
              <w:pStyle w:val="15"/>
            </w:pPr>
            <w:r>
              <w:t>17.58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15</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17.58</w:t>
            </w:r>
          </w:p>
        </w:tc>
        <w:tc>
          <w:tcPr>
            <w:tcW w:w="1134" w:type="dxa"/>
            <w:vAlign w:val="center"/>
          </w:tcPr>
          <w:p>
            <w:pPr>
              <w:pStyle w:val="15"/>
            </w:pPr>
            <w:r>
              <w:t>17.58</w:t>
            </w:r>
          </w:p>
        </w:tc>
        <w:tc>
          <w:tcPr>
            <w:tcW w:w="1134" w:type="dxa"/>
            <w:vAlign w:val="center"/>
          </w:tcPr>
          <w:p>
            <w:pPr>
              <w:pStyle w:val="15"/>
            </w:pPr>
            <w:r>
              <w:t>17.58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rPr>
          <w:trHeight w:val="369" w:hRule="atLeast"/>
          <w:jc w:val="center"/>
        </w:trPr>
        <w:tc>
          <w:tcPr>
            <w:tcW w:w="680" w:type="dxa"/>
            <w:vAlign w:val="center"/>
          </w:tcPr>
          <w:p>
            <w:pPr>
              <w:pStyle w:val="17"/>
            </w:pPr>
            <w:r>
              <w:t>16</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17.58</w:t>
            </w:r>
          </w:p>
        </w:tc>
        <w:tc>
          <w:tcPr>
            <w:tcW w:w="1134" w:type="dxa"/>
            <w:vAlign w:val="center"/>
          </w:tcPr>
          <w:p>
            <w:pPr>
              <w:pStyle w:val="15"/>
            </w:pPr>
            <w:r>
              <w:t>17.58</w:t>
            </w:r>
          </w:p>
        </w:tc>
        <w:tc>
          <w:tcPr>
            <w:tcW w:w="1134" w:type="dxa"/>
            <w:vAlign w:val="center"/>
          </w:tcPr>
          <w:p>
            <w:pPr>
              <w:pStyle w:val="15"/>
            </w:pPr>
            <w:r>
              <w:t>17.58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2" w:name="_Toc_2_2_0000000003"/>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2722"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4" w:type="dxa"/>
            <w:gridSpan w:val="4"/>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rPr>
          <w:trHeight w:val="369" w:hRule="atLeast"/>
          <w:tblHeader/>
          <w:jc w:val="center"/>
        </w:trPr>
        <w:tc>
          <w:tcPr>
            <w:tcW w:w="850" w:type="dxa"/>
            <w:vMerge w:val="continue"/>
            <w:vAlign w:val="top"/>
          </w:tcPr>
          <w:p/>
        </w:tc>
        <w:tc>
          <w:tcPr>
            <w:tcW w:w="992" w:type="dxa"/>
            <w:vAlign w:val="center"/>
          </w:tcPr>
          <w:p>
            <w:pPr>
              <w:pStyle w:val="14"/>
            </w:pPr>
            <w:r>
              <w:rPr>
                <w:rFonts w:hint="eastAsia"/>
              </w:rPr>
              <w:t>科目</w:t>
            </w:r>
            <w:r>
              <w:t xml:space="preserve">    </w:t>
            </w:r>
            <w:r>
              <w:rPr>
                <w:rFonts w:hint="eastAsia"/>
              </w:rPr>
              <w:t>编码</w:t>
            </w:r>
          </w:p>
        </w:tc>
        <w:tc>
          <w:tcPr>
            <w:tcW w:w="4536" w:type="dxa"/>
            <w:vAlign w:val="center"/>
          </w:tcPr>
          <w:p>
            <w:pPr>
              <w:pStyle w:val="14"/>
            </w:pPr>
            <w:r>
              <w:rPr>
                <w:rFonts w:hint="eastAsia"/>
              </w:rP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6"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rPr>
          <w:trHeight w:val="369" w:hRule="atLeast"/>
          <w:jc w:val="center"/>
        </w:trPr>
        <w:tc>
          <w:tcPr>
            <w:tcW w:w="850" w:type="dxa"/>
            <w:vAlign w:val="center"/>
          </w:tcPr>
          <w:p>
            <w:pPr>
              <w:pStyle w:val="17"/>
            </w:pPr>
            <w:r>
              <w:t>1</w:t>
            </w:r>
          </w:p>
        </w:tc>
        <w:tc>
          <w:tcPr>
            <w:tcW w:w="992" w:type="dxa"/>
            <w:vAlign w:val="center"/>
          </w:tcPr>
          <w:p>
            <w:pPr>
              <w:pStyle w:val="20"/>
            </w:pPr>
          </w:p>
        </w:tc>
        <w:tc>
          <w:tcPr>
            <w:tcW w:w="4536" w:type="dxa"/>
            <w:vAlign w:val="center"/>
          </w:tcPr>
          <w:p>
            <w:pPr>
              <w:pStyle w:val="18"/>
            </w:pPr>
            <w:r>
              <w:rPr>
                <w:rFonts w:hint="eastAsia"/>
              </w:rPr>
              <w:t>合计</w:t>
            </w:r>
          </w:p>
        </w:tc>
        <w:tc>
          <w:tcPr>
            <w:tcW w:w="1361" w:type="dxa"/>
            <w:vAlign w:val="center"/>
          </w:tcPr>
          <w:p>
            <w:pPr>
              <w:pStyle w:val="19"/>
            </w:pPr>
            <w:r>
              <w:t>378.18</w:t>
            </w:r>
          </w:p>
        </w:tc>
        <w:tc>
          <w:tcPr>
            <w:tcW w:w="1361" w:type="dxa"/>
            <w:vAlign w:val="center"/>
          </w:tcPr>
          <w:p>
            <w:pPr>
              <w:pStyle w:val="19"/>
            </w:pPr>
            <w:r>
              <w:t>302.18</w:t>
            </w:r>
          </w:p>
        </w:tc>
        <w:tc>
          <w:tcPr>
            <w:tcW w:w="1361" w:type="dxa"/>
            <w:vAlign w:val="center"/>
          </w:tcPr>
          <w:p>
            <w:pPr>
              <w:pStyle w:val="19"/>
            </w:pPr>
            <w:r>
              <w:t>76.00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6" w:type="dxa"/>
            <w:vAlign w:val="center"/>
          </w:tcPr>
          <w:p>
            <w:pPr>
              <w:pStyle w:val="16"/>
            </w:pPr>
            <w:r>
              <w:rPr>
                <w:rFonts w:hint="eastAsia"/>
              </w:rPr>
              <w:t>一般公共服务支出</w:t>
            </w:r>
          </w:p>
        </w:tc>
        <w:tc>
          <w:tcPr>
            <w:tcW w:w="1361" w:type="dxa"/>
            <w:vAlign w:val="center"/>
          </w:tcPr>
          <w:p>
            <w:pPr>
              <w:pStyle w:val="15"/>
            </w:pPr>
            <w:r>
              <w:t>322.87</w:t>
            </w:r>
          </w:p>
        </w:tc>
        <w:tc>
          <w:tcPr>
            <w:tcW w:w="1361" w:type="dxa"/>
            <w:vAlign w:val="center"/>
          </w:tcPr>
          <w:p>
            <w:pPr>
              <w:pStyle w:val="15"/>
            </w:pPr>
            <w:r>
              <w:t>246.87</w:t>
            </w:r>
          </w:p>
        </w:tc>
        <w:tc>
          <w:tcPr>
            <w:tcW w:w="1361" w:type="dxa"/>
            <w:vAlign w:val="center"/>
          </w:tcPr>
          <w:p>
            <w:pPr>
              <w:pStyle w:val="15"/>
            </w:pPr>
            <w:r>
              <w:t>76.00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3</w:t>
            </w:r>
          </w:p>
        </w:tc>
        <w:tc>
          <w:tcPr>
            <w:tcW w:w="992" w:type="dxa"/>
            <w:vAlign w:val="center"/>
          </w:tcPr>
          <w:p>
            <w:pPr>
              <w:pStyle w:val="16"/>
            </w:pPr>
            <w:r>
              <w:t>20101</w:t>
            </w:r>
          </w:p>
        </w:tc>
        <w:tc>
          <w:tcPr>
            <w:tcW w:w="4536" w:type="dxa"/>
            <w:vAlign w:val="center"/>
          </w:tcPr>
          <w:p>
            <w:pPr>
              <w:pStyle w:val="16"/>
            </w:pPr>
            <w:r>
              <w:rPr>
                <w:rFonts w:hint="eastAsia"/>
              </w:rPr>
              <w:t>人大事务</w:t>
            </w:r>
          </w:p>
        </w:tc>
        <w:tc>
          <w:tcPr>
            <w:tcW w:w="1361" w:type="dxa"/>
            <w:vAlign w:val="center"/>
          </w:tcPr>
          <w:p>
            <w:pPr>
              <w:pStyle w:val="15"/>
            </w:pPr>
            <w:r>
              <w:t>322.87</w:t>
            </w:r>
          </w:p>
        </w:tc>
        <w:tc>
          <w:tcPr>
            <w:tcW w:w="1361" w:type="dxa"/>
            <w:vAlign w:val="center"/>
          </w:tcPr>
          <w:p>
            <w:pPr>
              <w:pStyle w:val="15"/>
            </w:pPr>
            <w:r>
              <w:t>246.87</w:t>
            </w:r>
          </w:p>
        </w:tc>
        <w:tc>
          <w:tcPr>
            <w:tcW w:w="1361" w:type="dxa"/>
            <w:vAlign w:val="center"/>
          </w:tcPr>
          <w:p>
            <w:pPr>
              <w:pStyle w:val="15"/>
            </w:pPr>
            <w:r>
              <w:t>76.00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4</w:t>
            </w:r>
          </w:p>
        </w:tc>
        <w:tc>
          <w:tcPr>
            <w:tcW w:w="992" w:type="dxa"/>
            <w:vAlign w:val="center"/>
          </w:tcPr>
          <w:p>
            <w:pPr>
              <w:pStyle w:val="16"/>
            </w:pPr>
            <w:r>
              <w:t>2010101</w:t>
            </w:r>
          </w:p>
        </w:tc>
        <w:tc>
          <w:tcPr>
            <w:tcW w:w="4536" w:type="dxa"/>
            <w:vAlign w:val="center"/>
          </w:tcPr>
          <w:p>
            <w:pPr>
              <w:pStyle w:val="16"/>
            </w:pPr>
            <w:r>
              <w:rPr>
                <w:rFonts w:hint="eastAsia"/>
              </w:rPr>
              <w:t>行政运行</w:t>
            </w:r>
          </w:p>
        </w:tc>
        <w:tc>
          <w:tcPr>
            <w:tcW w:w="1361" w:type="dxa"/>
            <w:vAlign w:val="center"/>
          </w:tcPr>
          <w:p>
            <w:pPr>
              <w:pStyle w:val="15"/>
            </w:pPr>
            <w:r>
              <w:t>246.87</w:t>
            </w:r>
          </w:p>
        </w:tc>
        <w:tc>
          <w:tcPr>
            <w:tcW w:w="1361" w:type="dxa"/>
            <w:vAlign w:val="center"/>
          </w:tcPr>
          <w:p>
            <w:pPr>
              <w:pStyle w:val="15"/>
            </w:pPr>
            <w:r>
              <w:t>246.87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5</w:t>
            </w:r>
          </w:p>
        </w:tc>
        <w:tc>
          <w:tcPr>
            <w:tcW w:w="992" w:type="dxa"/>
            <w:vAlign w:val="center"/>
          </w:tcPr>
          <w:p>
            <w:pPr>
              <w:pStyle w:val="16"/>
            </w:pPr>
            <w:r>
              <w:t>2010104</w:t>
            </w:r>
          </w:p>
        </w:tc>
        <w:tc>
          <w:tcPr>
            <w:tcW w:w="4536" w:type="dxa"/>
            <w:vAlign w:val="center"/>
          </w:tcPr>
          <w:p>
            <w:pPr>
              <w:pStyle w:val="16"/>
            </w:pPr>
            <w:r>
              <w:rPr>
                <w:rFonts w:hint="eastAsia"/>
              </w:rPr>
              <w:t>人大会议</w:t>
            </w:r>
          </w:p>
        </w:tc>
        <w:tc>
          <w:tcPr>
            <w:tcW w:w="1361" w:type="dxa"/>
            <w:vAlign w:val="center"/>
          </w:tcPr>
          <w:p>
            <w:pPr>
              <w:pStyle w:val="15"/>
            </w:pPr>
            <w:r>
              <w:t>36.00</w:t>
            </w:r>
          </w:p>
        </w:tc>
        <w:tc>
          <w:tcPr>
            <w:tcW w:w="1361" w:type="dxa"/>
            <w:vAlign w:val="center"/>
          </w:tcPr>
          <w:p>
            <w:pPr>
              <w:pStyle w:val="15"/>
            </w:pPr>
          </w:p>
        </w:tc>
        <w:tc>
          <w:tcPr>
            <w:tcW w:w="1361" w:type="dxa"/>
            <w:vAlign w:val="center"/>
          </w:tcPr>
          <w:p>
            <w:pPr>
              <w:pStyle w:val="15"/>
            </w:pPr>
            <w:r>
              <w:t>36.00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6</w:t>
            </w:r>
          </w:p>
        </w:tc>
        <w:tc>
          <w:tcPr>
            <w:tcW w:w="992" w:type="dxa"/>
            <w:vAlign w:val="center"/>
          </w:tcPr>
          <w:p>
            <w:pPr>
              <w:pStyle w:val="16"/>
            </w:pPr>
            <w:r>
              <w:t>2010106</w:t>
            </w:r>
          </w:p>
        </w:tc>
        <w:tc>
          <w:tcPr>
            <w:tcW w:w="4536" w:type="dxa"/>
            <w:vAlign w:val="center"/>
          </w:tcPr>
          <w:p>
            <w:pPr>
              <w:pStyle w:val="16"/>
            </w:pPr>
            <w:r>
              <w:rPr>
                <w:rFonts w:hint="eastAsia"/>
              </w:rPr>
              <w:t>人大监督</w:t>
            </w: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r>
              <w:t>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7</w:t>
            </w:r>
          </w:p>
        </w:tc>
        <w:tc>
          <w:tcPr>
            <w:tcW w:w="992" w:type="dxa"/>
            <w:vAlign w:val="center"/>
          </w:tcPr>
          <w:p>
            <w:pPr>
              <w:pStyle w:val="16"/>
            </w:pPr>
            <w:r>
              <w:t>2010108</w:t>
            </w:r>
          </w:p>
        </w:tc>
        <w:tc>
          <w:tcPr>
            <w:tcW w:w="4536" w:type="dxa"/>
            <w:vAlign w:val="center"/>
          </w:tcPr>
          <w:p>
            <w:pPr>
              <w:pStyle w:val="16"/>
            </w:pPr>
            <w:r>
              <w:rPr>
                <w:rFonts w:hint="eastAsia"/>
              </w:rPr>
              <w:t>代表工作</w:t>
            </w:r>
          </w:p>
        </w:tc>
        <w:tc>
          <w:tcPr>
            <w:tcW w:w="1361" w:type="dxa"/>
            <w:vAlign w:val="center"/>
          </w:tcPr>
          <w:p>
            <w:pPr>
              <w:pStyle w:val="15"/>
            </w:pPr>
            <w:r>
              <w:t>30.00</w:t>
            </w:r>
          </w:p>
        </w:tc>
        <w:tc>
          <w:tcPr>
            <w:tcW w:w="1361" w:type="dxa"/>
            <w:vAlign w:val="center"/>
          </w:tcPr>
          <w:p>
            <w:pPr>
              <w:pStyle w:val="15"/>
            </w:pPr>
          </w:p>
        </w:tc>
        <w:tc>
          <w:tcPr>
            <w:tcW w:w="1361" w:type="dxa"/>
            <w:vAlign w:val="center"/>
          </w:tcPr>
          <w:p>
            <w:pPr>
              <w:pStyle w:val="15"/>
            </w:pPr>
            <w:r>
              <w:t>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8</w:t>
            </w:r>
          </w:p>
        </w:tc>
        <w:tc>
          <w:tcPr>
            <w:tcW w:w="992" w:type="dxa"/>
            <w:vAlign w:val="center"/>
          </w:tcPr>
          <w:p>
            <w:pPr>
              <w:pStyle w:val="16"/>
            </w:pPr>
            <w:r>
              <w:t>208</w:t>
            </w:r>
          </w:p>
        </w:tc>
        <w:tc>
          <w:tcPr>
            <w:tcW w:w="4536" w:type="dxa"/>
            <w:vAlign w:val="center"/>
          </w:tcPr>
          <w:p>
            <w:pPr>
              <w:pStyle w:val="16"/>
            </w:pPr>
            <w:r>
              <w:rPr>
                <w:rFonts w:hint="eastAsia"/>
              </w:rPr>
              <w:t>社会保障和就业支出</w:t>
            </w:r>
          </w:p>
        </w:tc>
        <w:tc>
          <w:tcPr>
            <w:tcW w:w="1361" w:type="dxa"/>
            <w:vAlign w:val="center"/>
          </w:tcPr>
          <w:p>
            <w:pPr>
              <w:pStyle w:val="15"/>
            </w:pPr>
            <w:r>
              <w:t>28.12</w:t>
            </w:r>
          </w:p>
        </w:tc>
        <w:tc>
          <w:tcPr>
            <w:tcW w:w="1361" w:type="dxa"/>
            <w:vAlign w:val="center"/>
          </w:tcPr>
          <w:p>
            <w:pPr>
              <w:pStyle w:val="15"/>
            </w:pPr>
            <w:r>
              <w:t>28.12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9</w:t>
            </w:r>
          </w:p>
        </w:tc>
        <w:tc>
          <w:tcPr>
            <w:tcW w:w="992" w:type="dxa"/>
            <w:vAlign w:val="center"/>
          </w:tcPr>
          <w:p>
            <w:pPr>
              <w:pStyle w:val="16"/>
            </w:pPr>
            <w:r>
              <w:t>20805</w:t>
            </w:r>
          </w:p>
        </w:tc>
        <w:tc>
          <w:tcPr>
            <w:tcW w:w="4536" w:type="dxa"/>
            <w:vAlign w:val="center"/>
          </w:tcPr>
          <w:p>
            <w:pPr>
              <w:pStyle w:val="16"/>
            </w:pPr>
            <w:r>
              <w:rPr>
                <w:rFonts w:hint="eastAsia"/>
              </w:rPr>
              <w:t>行政事业单位养老支出</w:t>
            </w:r>
          </w:p>
        </w:tc>
        <w:tc>
          <w:tcPr>
            <w:tcW w:w="1361" w:type="dxa"/>
            <w:vAlign w:val="center"/>
          </w:tcPr>
          <w:p>
            <w:pPr>
              <w:pStyle w:val="15"/>
            </w:pPr>
            <w:r>
              <w:t>28.12</w:t>
            </w:r>
          </w:p>
        </w:tc>
        <w:tc>
          <w:tcPr>
            <w:tcW w:w="1361" w:type="dxa"/>
            <w:vAlign w:val="center"/>
          </w:tcPr>
          <w:p>
            <w:pPr>
              <w:pStyle w:val="15"/>
            </w:pPr>
            <w:r>
              <w:t>28.12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10</w:t>
            </w:r>
          </w:p>
        </w:tc>
        <w:tc>
          <w:tcPr>
            <w:tcW w:w="992" w:type="dxa"/>
            <w:vAlign w:val="center"/>
          </w:tcPr>
          <w:p>
            <w:pPr>
              <w:pStyle w:val="16"/>
            </w:pPr>
            <w:r>
              <w:t>2080505</w:t>
            </w:r>
          </w:p>
        </w:tc>
        <w:tc>
          <w:tcPr>
            <w:tcW w:w="4536" w:type="dxa"/>
            <w:vAlign w:val="center"/>
          </w:tcPr>
          <w:p>
            <w:pPr>
              <w:pStyle w:val="16"/>
            </w:pPr>
            <w:r>
              <w:rPr>
                <w:rFonts w:hint="eastAsia"/>
              </w:rPr>
              <w:t>机关事业单位基本养老保险缴费支出</w:t>
            </w:r>
          </w:p>
        </w:tc>
        <w:tc>
          <w:tcPr>
            <w:tcW w:w="1361" w:type="dxa"/>
            <w:vAlign w:val="center"/>
          </w:tcPr>
          <w:p>
            <w:pPr>
              <w:pStyle w:val="15"/>
            </w:pPr>
            <w:r>
              <w:t>28.12</w:t>
            </w:r>
          </w:p>
        </w:tc>
        <w:tc>
          <w:tcPr>
            <w:tcW w:w="1361" w:type="dxa"/>
            <w:vAlign w:val="center"/>
          </w:tcPr>
          <w:p>
            <w:pPr>
              <w:pStyle w:val="15"/>
            </w:pPr>
            <w:r>
              <w:t>28.12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11</w:t>
            </w:r>
          </w:p>
        </w:tc>
        <w:tc>
          <w:tcPr>
            <w:tcW w:w="992" w:type="dxa"/>
            <w:vAlign w:val="center"/>
          </w:tcPr>
          <w:p>
            <w:pPr>
              <w:pStyle w:val="16"/>
            </w:pPr>
            <w:r>
              <w:t>210</w:t>
            </w:r>
          </w:p>
        </w:tc>
        <w:tc>
          <w:tcPr>
            <w:tcW w:w="4536" w:type="dxa"/>
            <w:vAlign w:val="center"/>
          </w:tcPr>
          <w:p>
            <w:pPr>
              <w:pStyle w:val="16"/>
            </w:pPr>
            <w:r>
              <w:rPr>
                <w:rFonts w:hint="eastAsia"/>
              </w:rPr>
              <w:t>卫生健康支出</w:t>
            </w:r>
          </w:p>
        </w:tc>
        <w:tc>
          <w:tcPr>
            <w:tcW w:w="1361" w:type="dxa"/>
            <w:vAlign w:val="center"/>
          </w:tcPr>
          <w:p>
            <w:pPr>
              <w:pStyle w:val="15"/>
            </w:pPr>
            <w:r>
              <w:t>9.61</w:t>
            </w:r>
          </w:p>
        </w:tc>
        <w:tc>
          <w:tcPr>
            <w:tcW w:w="1361" w:type="dxa"/>
            <w:vAlign w:val="center"/>
          </w:tcPr>
          <w:p>
            <w:pPr>
              <w:pStyle w:val="15"/>
            </w:pPr>
            <w:r>
              <w:t>9.61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12</w:t>
            </w:r>
          </w:p>
        </w:tc>
        <w:tc>
          <w:tcPr>
            <w:tcW w:w="992" w:type="dxa"/>
            <w:vAlign w:val="center"/>
          </w:tcPr>
          <w:p>
            <w:pPr>
              <w:pStyle w:val="16"/>
            </w:pPr>
            <w:r>
              <w:t>21011</w:t>
            </w:r>
          </w:p>
        </w:tc>
        <w:tc>
          <w:tcPr>
            <w:tcW w:w="4536" w:type="dxa"/>
            <w:vAlign w:val="center"/>
          </w:tcPr>
          <w:p>
            <w:pPr>
              <w:pStyle w:val="16"/>
            </w:pPr>
            <w:r>
              <w:rPr>
                <w:rFonts w:hint="eastAsia"/>
              </w:rPr>
              <w:t>行政事业单位医疗</w:t>
            </w:r>
          </w:p>
        </w:tc>
        <w:tc>
          <w:tcPr>
            <w:tcW w:w="1361" w:type="dxa"/>
            <w:vAlign w:val="center"/>
          </w:tcPr>
          <w:p>
            <w:pPr>
              <w:pStyle w:val="15"/>
            </w:pPr>
            <w:r>
              <w:t>9.61</w:t>
            </w:r>
          </w:p>
        </w:tc>
        <w:tc>
          <w:tcPr>
            <w:tcW w:w="1361" w:type="dxa"/>
            <w:vAlign w:val="center"/>
          </w:tcPr>
          <w:p>
            <w:pPr>
              <w:pStyle w:val="15"/>
            </w:pPr>
            <w:r>
              <w:t>9.61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13</w:t>
            </w:r>
          </w:p>
        </w:tc>
        <w:tc>
          <w:tcPr>
            <w:tcW w:w="992" w:type="dxa"/>
            <w:vAlign w:val="center"/>
          </w:tcPr>
          <w:p>
            <w:pPr>
              <w:pStyle w:val="16"/>
            </w:pPr>
            <w:r>
              <w:t>2101101</w:t>
            </w:r>
          </w:p>
        </w:tc>
        <w:tc>
          <w:tcPr>
            <w:tcW w:w="4536" w:type="dxa"/>
            <w:vAlign w:val="center"/>
          </w:tcPr>
          <w:p>
            <w:pPr>
              <w:pStyle w:val="16"/>
            </w:pPr>
            <w:r>
              <w:rPr>
                <w:rFonts w:hint="eastAsia"/>
              </w:rPr>
              <w:t>行政单位医疗</w:t>
            </w:r>
          </w:p>
        </w:tc>
        <w:tc>
          <w:tcPr>
            <w:tcW w:w="1361" w:type="dxa"/>
            <w:vAlign w:val="center"/>
          </w:tcPr>
          <w:p>
            <w:pPr>
              <w:pStyle w:val="15"/>
            </w:pPr>
            <w:r>
              <w:t>9.61</w:t>
            </w:r>
          </w:p>
        </w:tc>
        <w:tc>
          <w:tcPr>
            <w:tcW w:w="1361" w:type="dxa"/>
            <w:vAlign w:val="center"/>
          </w:tcPr>
          <w:p>
            <w:pPr>
              <w:pStyle w:val="15"/>
            </w:pPr>
            <w:r>
              <w:t>9.61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14</w:t>
            </w:r>
          </w:p>
        </w:tc>
        <w:tc>
          <w:tcPr>
            <w:tcW w:w="992" w:type="dxa"/>
            <w:vAlign w:val="center"/>
          </w:tcPr>
          <w:p>
            <w:pPr>
              <w:pStyle w:val="16"/>
            </w:pPr>
            <w:r>
              <w:t>221</w:t>
            </w:r>
          </w:p>
        </w:tc>
        <w:tc>
          <w:tcPr>
            <w:tcW w:w="4536" w:type="dxa"/>
            <w:vAlign w:val="center"/>
          </w:tcPr>
          <w:p>
            <w:pPr>
              <w:pStyle w:val="16"/>
            </w:pPr>
            <w:r>
              <w:rPr>
                <w:rFonts w:hint="eastAsia"/>
              </w:rPr>
              <w:t>住房保障支出</w:t>
            </w:r>
          </w:p>
        </w:tc>
        <w:tc>
          <w:tcPr>
            <w:tcW w:w="1361" w:type="dxa"/>
            <w:vAlign w:val="center"/>
          </w:tcPr>
          <w:p>
            <w:pPr>
              <w:pStyle w:val="15"/>
            </w:pPr>
            <w:r>
              <w:t>17.58</w:t>
            </w:r>
          </w:p>
        </w:tc>
        <w:tc>
          <w:tcPr>
            <w:tcW w:w="1361" w:type="dxa"/>
            <w:vAlign w:val="center"/>
          </w:tcPr>
          <w:p>
            <w:pPr>
              <w:pStyle w:val="15"/>
            </w:pPr>
            <w:r>
              <w:t>17.58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15</w:t>
            </w:r>
          </w:p>
        </w:tc>
        <w:tc>
          <w:tcPr>
            <w:tcW w:w="992" w:type="dxa"/>
            <w:vAlign w:val="center"/>
          </w:tcPr>
          <w:p>
            <w:pPr>
              <w:pStyle w:val="16"/>
            </w:pPr>
            <w:r>
              <w:t>22102</w:t>
            </w:r>
          </w:p>
        </w:tc>
        <w:tc>
          <w:tcPr>
            <w:tcW w:w="4536" w:type="dxa"/>
            <w:vAlign w:val="center"/>
          </w:tcPr>
          <w:p>
            <w:pPr>
              <w:pStyle w:val="16"/>
            </w:pPr>
            <w:r>
              <w:rPr>
                <w:rFonts w:hint="eastAsia"/>
              </w:rPr>
              <w:t>住房改革支出</w:t>
            </w:r>
          </w:p>
        </w:tc>
        <w:tc>
          <w:tcPr>
            <w:tcW w:w="1361" w:type="dxa"/>
            <w:vAlign w:val="center"/>
          </w:tcPr>
          <w:p>
            <w:pPr>
              <w:pStyle w:val="15"/>
            </w:pPr>
            <w:r>
              <w:t>17.58</w:t>
            </w:r>
          </w:p>
        </w:tc>
        <w:tc>
          <w:tcPr>
            <w:tcW w:w="1361" w:type="dxa"/>
            <w:vAlign w:val="center"/>
          </w:tcPr>
          <w:p>
            <w:pPr>
              <w:pStyle w:val="15"/>
            </w:pPr>
            <w:r>
              <w:t>17.58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rPr>
          <w:trHeight w:val="369" w:hRule="atLeast"/>
          <w:jc w:val="center"/>
        </w:trPr>
        <w:tc>
          <w:tcPr>
            <w:tcW w:w="850" w:type="dxa"/>
            <w:vAlign w:val="center"/>
          </w:tcPr>
          <w:p>
            <w:pPr>
              <w:pStyle w:val="17"/>
            </w:pPr>
            <w:r>
              <w:t>16</w:t>
            </w:r>
          </w:p>
        </w:tc>
        <w:tc>
          <w:tcPr>
            <w:tcW w:w="992" w:type="dxa"/>
            <w:vAlign w:val="center"/>
          </w:tcPr>
          <w:p>
            <w:pPr>
              <w:pStyle w:val="16"/>
            </w:pPr>
            <w:r>
              <w:t>2210201</w:t>
            </w:r>
          </w:p>
        </w:tc>
        <w:tc>
          <w:tcPr>
            <w:tcW w:w="4536" w:type="dxa"/>
            <w:vAlign w:val="center"/>
          </w:tcPr>
          <w:p>
            <w:pPr>
              <w:pStyle w:val="16"/>
            </w:pPr>
            <w:r>
              <w:rPr>
                <w:rFonts w:hint="eastAsia"/>
              </w:rPr>
              <w:t>住房公积金</w:t>
            </w:r>
          </w:p>
        </w:tc>
        <w:tc>
          <w:tcPr>
            <w:tcW w:w="1361" w:type="dxa"/>
            <w:vAlign w:val="center"/>
          </w:tcPr>
          <w:p>
            <w:pPr>
              <w:pStyle w:val="15"/>
            </w:pPr>
            <w:r>
              <w:t>17.58</w:t>
            </w:r>
          </w:p>
        </w:tc>
        <w:tc>
          <w:tcPr>
            <w:tcW w:w="1361" w:type="dxa"/>
            <w:vAlign w:val="center"/>
          </w:tcPr>
          <w:p>
            <w:pPr>
              <w:pStyle w:val="15"/>
            </w:pPr>
            <w:r>
              <w:t>17.58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3" w:name="_Toc_2_2_0000000004"/>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rPr>
          <w:trHeight w:val="369" w:hRule="atLeast"/>
          <w:tblHeader/>
          <w:jc w:val="center"/>
        </w:trPr>
        <w:tc>
          <w:tcPr>
            <w:tcW w:w="850" w:type="dxa"/>
            <w:vMerge w:val="continue"/>
            <w:vAlign w:val="top"/>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378.18</w:t>
            </w:r>
          </w:p>
        </w:tc>
        <w:tc>
          <w:tcPr>
            <w:tcW w:w="3402" w:type="dxa"/>
            <w:vAlign w:val="center"/>
          </w:tcPr>
          <w:p>
            <w:pPr>
              <w:pStyle w:val="16"/>
            </w:pPr>
            <w:r>
              <w:rPr>
                <w:rFonts w:hint="eastAsia"/>
              </w:rPr>
              <w:t>一、一般公共服务支出</w:t>
            </w:r>
          </w:p>
        </w:tc>
        <w:tc>
          <w:tcPr>
            <w:tcW w:w="1474" w:type="dxa"/>
            <w:vAlign w:val="center"/>
          </w:tcPr>
          <w:p>
            <w:pPr>
              <w:pStyle w:val="15"/>
            </w:pPr>
            <w:r>
              <w:t>322.87</w:t>
            </w:r>
          </w:p>
        </w:tc>
        <w:tc>
          <w:tcPr>
            <w:tcW w:w="1474" w:type="dxa"/>
            <w:vAlign w:val="center"/>
          </w:tcPr>
          <w:p>
            <w:pPr>
              <w:pStyle w:val="15"/>
            </w:pPr>
            <w:r>
              <w:t>322.87</w:t>
            </w: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28.12</w:t>
            </w:r>
          </w:p>
        </w:tc>
        <w:tc>
          <w:tcPr>
            <w:tcW w:w="1474" w:type="dxa"/>
            <w:vAlign w:val="center"/>
          </w:tcPr>
          <w:p>
            <w:pPr>
              <w:pStyle w:val="15"/>
            </w:pPr>
            <w:r>
              <w:t>28.12</w:t>
            </w: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9.61</w:t>
            </w:r>
          </w:p>
        </w:tc>
        <w:tc>
          <w:tcPr>
            <w:tcW w:w="1474" w:type="dxa"/>
            <w:vAlign w:val="center"/>
          </w:tcPr>
          <w:p>
            <w:pPr>
              <w:pStyle w:val="15"/>
            </w:pPr>
            <w:r>
              <w:t>9.61</w:t>
            </w: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17.58</w:t>
            </w:r>
          </w:p>
        </w:tc>
        <w:tc>
          <w:tcPr>
            <w:tcW w:w="1474" w:type="dxa"/>
            <w:vAlign w:val="center"/>
          </w:tcPr>
          <w:p>
            <w:pPr>
              <w:pStyle w:val="15"/>
            </w:pPr>
            <w:r>
              <w:t>17.58</w:t>
            </w: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378.18</w:t>
            </w:r>
          </w:p>
        </w:tc>
        <w:tc>
          <w:tcPr>
            <w:tcW w:w="3402" w:type="dxa"/>
            <w:vAlign w:val="center"/>
          </w:tcPr>
          <w:p>
            <w:pPr>
              <w:pStyle w:val="18"/>
            </w:pPr>
            <w:r>
              <w:rPr>
                <w:rFonts w:hint="eastAsia"/>
              </w:rPr>
              <w:t>本年支出合计</w:t>
            </w:r>
          </w:p>
        </w:tc>
        <w:tc>
          <w:tcPr>
            <w:tcW w:w="1474" w:type="dxa"/>
            <w:vAlign w:val="center"/>
          </w:tcPr>
          <w:p>
            <w:pPr>
              <w:pStyle w:val="19"/>
            </w:pPr>
            <w:r>
              <w:t>378.18</w:t>
            </w:r>
          </w:p>
        </w:tc>
        <w:tc>
          <w:tcPr>
            <w:tcW w:w="1474" w:type="dxa"/>
            <w:vAlign w:val="center"/>
          </w:tcPr>
          <w:p>
            <w:pPr>
              <w:pStyle w:val="19"/>
            </w:pPr>
            <w:r>
              <w:t>378.18</w:t>
            </w:r>
          </w:p>
        </w:tc>
        <w:tc>
          <w:tcPr>
            <w:tcW w:w="1474" w:type="dxa"/>
            <w:vAlign w:val="center"/>
          </w:tcPr>
          <w:p>
            <w:pPr>
              <w:pStyle w:val="19"/>
            </w:pPr>
          </w:p>
        </w:tc>
        <w:tc>
          <w:tcPr>
            <w:tcW w:w="1474" w:type="dxa"/>
            <w:vAlign w:val="center"/>
          </w:tcPr>
          <w:p>
            <w:pPr>
              <w:pStyle w:val="19"/>
            </w:pPr>
          </w:p>
        </w:tc>
      </w:tr>
      <w:tr>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378.18</w:t>
            </w:r>
          </w:p>
        </w:tc>
        <w:tc>
          <w:tcPr>
            <w:tcW w:w="3402" w:type="dxa"/>
            <w:vAlign w:val="center"/>
          </w:tcPr>
          <w:p>
            <w:pPr>
              <w:pStyle w:val="18"/>
            </w:pPr>
            <w:r>
              <w:rPr>
                <w:rFonts w:hint="eastAsia"/>
              </w:rPr>
              <w:t>支出总计</w:t>
            </w:r>
          </w:p>
        </w:tc>
        <w:tc>
          <w:tcPr>
            <w:tcW w:w="1474" w:type="dxa"/>
            <w:vAlign w:val="center"/>
          </w:tcPr>
          <w:p>
            <w:pPr>
              <w:pStyle w:val="19"/>
            </w:pPr>
            <w:r>
              <w:t>378.18</w:t>
            </w:r>
          </w:p>
        </w:tc>
        <w:tc>
          <w:tcPr>
            <w:tcW w:w="1474" w:type="dxa"/>
            <w:vAlign w:val="center"/>
          </w:tcPr>
          <w:p>
            <w:pPr>
              <w:pStyle w:val="19"/>
            </w:pPr>
            <w:r>
              <w:t>378.18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4" w:name="_Toc_2_2_0000000005"/>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378.18</w:t>
            </w:r>
          </w:p>
        </w:tc>
        <w:tc>
          <w:tcPr>
            <w:tcW w:w="2551" w:type="dxa"/>
            <w:vAlign w:val="center"/>
          </w:tcPr>
          <w:p>
            <w:pPr>
              <w:pStyle w:val="19"/>
            </w:pPr>
            <w:r>
              <w:t>302.18</w:t>
            </w:r>
          </w:p>
        </w:tc>
        <w:tc>
          <w:tcPr>
            <w:tcW w:w="2551" w:type="dxa"/>
            <w:vAlign w:val="center"/>
          </w:tcPr>
          <w:p>
            <w:pPr>
              <w:pStyle w:val="19"/>
            </w:pPr>
            <w:r>
              <w:t>76.00</w:t>
            </w:r>
          </w:p>
        </w:tc>
      </w:tr>
      <w:tr>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rPr>
                <w:rFonts w:hint="eastAsia"/>
              </w:rPr>
              <w:t>一般公共服务支出</w:t>
            </w:r>
          </w:p>
        </w:tc>
        <w:tc>
          <w:tcPr>
            <w:tcW w:w="2551" w:type="dxa"/>
            <w:vAlign w:val="center"/>
          </w:tcPr>
          <w:p>
            <w:pPr>
              <w:pStyle w:val="15"/>
            </w:pPr>
            <w:r>
              <w:t>322.87</w:t>
            </w:r>
          </w:p>
        </w:tc>
        <w:tc>
          <w:tcPr>
            <w:tcW w:w="2551" w:type="dxa"/>
            <w:vAlign w:val="center"/>
          </w:tcPr>
          <w:p>
            <w:pPr>
              <w:pStyle w:val="15"/>
            </w:pPr>
            <w:r>
              <w:t>246.87</w:t>
            </w:r>
          </w:p>
        </w:tc>
        <w:tc>
          <w:tcPr>
            <w:tcW w:w="2551" w:type="dxa"/>
            <w:vAlign w:val="center"/>
          </w:tcPr>
          <w:p>
            <w:pPr>
              <w:pStyle w:val="15"/>
            </w:pPr>
            <w:r>
              <w:t>76.00</w:t>
            </w:r>
          </w:p>
        </w:tc>
      </w:tr>
      <w:tr>
        <w:trPr>
          <w:trHeight w:val="369" w:hRule="atLeast"/>
          <w:jc w:val="center"/>
        </w:trPr>
        <w:tc>
          <w:tcPr>
            <w:tcW w:w="850" w:type="dxa"/>
            <w:vAlign w:val="center"/>
          </w:tcPr>
          <w:p>
            <w:pPr>
              <w:pStyle w:val="17"/>
            </w:pPr>
            <w:r>
              <w:t>3</w:t>
            </w:r>
          </w:p>
        </w:tc>
        <w:tc>
          <w:tcPr>
            <w:tcW w:w="1191" w:type="dxa"/>
            <w:vAlign w:val="center"/>
          </w:tcPr>
          <w:p>
            <w:pPr>
              <w:pStyle w:val="16"/>
            </w:pPr>
            <w:r>
              <w:t>20101</w:t>
            </w:r>
          </w:p>
        </w:tc>
        <w:tc>
          <w:tcPr>
            <w:tcW w:w="4535" w:type="dxa"/>
            <w:vAlign w:val="center"/>
          </w:tcPr>
          <w:p>
            <w:pPr>
              <w:pStyle w:val="16"/>
            </w:pPr>
            <w:r>
              <w:rPr>
                <w:rFonts w:hint="eastAsia"/>
              </w:rPr>
              <w:t>人大事务</w:t>
            </w:r>
          </w:p>
        </w:tc>
        <w:tc>
          <w:tcPr>
            <w:tcW w:w="2551" w:type="dxa"/>
            <w:vAlign w:val="center"/>
          </w:tcPr>
          <w:p>
            <w:pPr>
              <w:pStyle w:val="15"/>
            </w:pPr>
            <w:r>
              <w:t>322.87</w:t>
            </w:r>
          </w:p>
        </w:tc>
        <w:tc>
          <w:tcPr>
            <w:tcW w:w="2551" w:type="dxa"/>
            <w:vAlign w:val="center"/>
          </w:tcPr>
          <w:p>
            <w:pPr>
              <w:pStyle w:val="15"/>
            </w:pPr>
            <w:r>
              <w:t>246.87</w:t>
            </w:r>
          </w:p>
        </w:tc>
        <w:tc>
          <w:tcPr>
            <w:tcW w:w="2551" w:type="dxa"/>
            <w:vAlign w:val="center"/>
          </w:tcPr>
          <w:p>
            <w:pPr>
              <w:pStyle w:val="15"/>
            </w:pPr>
            <w:r>
              <w:t>76.00</w:t>
            </w:r>
          </w:p>
        </w:tc>
      </w:tr>
      <w:tr>
        <w:trPr>
          <w:trHeight w:val="369" w:hRule="atLeast"/>
          <w:jc w:val="center"/>
        </w:trPr>
        <w:tc>
          <w:tcPr>
            <w:tcW w:w="850" w:type="dxa"/>
            <w:vAlign w:val="center"/>
          </w:tcPr>
          <w:p>
            <w:pPr>
              <w:pStyle w:val="17"/>
            </w:pPr>
            <w:r>
              <w:t>4</w:t>
            </w:r>
          </w:p>
        </w:tc>
        <w:tc>
          <w:tcPr>
            <w:tcW w:w="1191" w:type="dxa"/>
            <w:vAlign w:val="center"/>
          </w:tcPr>
          <w:p>
            <w:pPr>
              <w:pStyle w:val="16"/>
            </w:pPr>
            <w:r>
              <w:t>2010101</w:t>
            </w:r>
          </w:p>
        </w:tc>
        <w:tc>
          <w:tcPr>
            <w:tcW w:w="4535" w:type="dxa"/>
            <w:vAlign w:val="center"/>
          </w:tcPr>
          <w:p>
            <w:pPr>
              <w:pStyle w:val="16"/>
            </w:pPr>
            <w:r>
              <w:rPr>
                <w:rFonts w:hint="eastAsia"/>
              </w:rPr>
              <w:t>行政运行</w:t>
            </w:r>
          </w:p>
        </w:tc>
        <w:tc>
          <w:tcPr>
            <w:tcW w:w="2551" w:type="dxa"/>
            <w:vAlign w:val="center"/>
          </w:tcPr>
          <w:p>
            <w:pPr>
              <w:pStyle w:val="15"/>
            </w:pPr>
            <w:r>
              <w:t>246.87</w:t>
            </w:r>
          </w:p>
        </w:tc>
        <w:tc>
          <w:tcPr>
            <w:tcW w:w="2551" w:type="dxa"/>
            <w:vAlign w:val="center"/>
          </w:tcPr>
          <w:p>
            <w:pPr>
              <w:pStyle w:val="15"/>
            </w:pPr>
            <w:r>
              <w:t>246.87</w:t>
            </w:r>
          </w:p>
        </w:tc>
        <w:tc>
          <w:tcPr>
            <w:tcW w:w="2551" w:type="dxa"/>
            <w:vAlign w:val="center"/>
          </w:tcPr>
          <w:p>
            <w:pPr>
              <w:pStyle w:val="15"/>
            </w:pPr>
          </w:p>
        </w:tc>
      </w:tr>
      <w:tr>
        <w:trPr>
          <w:trHeight w:val="369" w:hRule="atLeast"/>
          <w:jc w:val="center"/>
        </w:trPr>
        <w:tc>
          <w:tcPr>
            <w:tcW w:w="850" w:type="dxa"/>
            <w:vAlign w:val="center"/>
          </w:tcPr>
          <w:p>
            <w:pPr>
              <w:pStyle w:val="17"/>
            </w:pPr>
            <w:r>
              <w:t>5</w:t>
            </w:r>
          </w:p>
        </w:tc>
        <w:tc>
          <w:tcPr>
            <w:tcW w:w="1191" w:type="dxa"/>
            <w:vAlign w:val="center"/>
          </w:tcPr>
          <w:p>
            <w:pPr>
              <w:pStyle w:val="16"/>
            </w:pPr>
            <w:r>
              <w:t>2010104</w:t>
            </w:r>
          </w:p>
        </w:tc>
        <w:tc>
          <w:tcPr>
            <w:tcW w:w="4535" w:type="dxa"/>
            <w:vAlign w:val="center"/>
          </w:tcPr>
          <w:p>
            <w:pPr>
              <w:pStyle w:val="16"/>
            </w:pPr>
            <w:r>
              <w:rPr>
                <w:rFonts w:hint="eastAsia"/>
              </w:rPr>
              <w:t>人大会议</w:t>
            </w:r>
          </w:p>
        </w:tc>
        <w:tc>
          <w:tcPr>
            <w:tcW w:w="2551" w:type="dxa"/>
            <w:vAlign w:val="center"/>
          </w:tcPr>
          <w:p>
            <w:pPr>
              <w:pStyle w:val="15"/>
            </w:pPr>
            <w:r>
              <w:t>36.00</w:t>
            </w:r>
          </w:p>
        </w:tc>
        <w:tc>
          <w:tcPr>
            <w:tcW w:w="2551" w:type="dxa"/>
            <w:vAlign w:val="center"/>
          </w:tcPr>
          <w:p>
            <w:pPr>
              <w:pStyle w:val="15"/>
            </w:pPr>
          </w:p>
        </w:tc>
        <w:tc>
          <w:tcPr>
            <w:tcW w:w="2551" w:type="dxa"/>
            <w:vAlign w:val="center"/>
          </w:tcPr>
          <w:p>
            <w:pPr>
              <w:pStyle w:val="15"/>
            </w:pPr>
            <w:r>
              <w:t>36.00</w:t>
            </w:r>
          </w:p>
        </w:tc>
      </w:tr>
      <w:tr>
        <w:trPr>
          <w:trHeight w:val="369" w:hRule="atLeast"/>
          <w:jc w:val="center"/>
        </w:trPr>
        <w:tc>
          <w:tcPr>
            <w:tcW w:w="850" w:type="dxa"/>
            <w:vAlign w:val="center"/>
          </w:tcPr>
          <w:p>
            <w:pPr>
              <w:pStyle w:val="17"/>
            </w:pPr>
            <w:r>
              <w:t>6</w:t>
            </w:r>
          </w:p>
        </w:tc>
        <w:tc>
          <w:tcPr>
            <w:tcW w:w="1191" w:type="dxa"/>
            <w:vAlign w:val="center"/>
          </w:tcPr>
          <w:p>
            <w:pPr>
              <w:pStyle w:val="16"/>
            </w:pPr>
            <w:r>
              <w:t>2010106</w:t>
            </w:r>
          </w:p>
        </w:tc>
        <w:tc>
          <w:tcPr>
            <w:tcW w:w="4535" w:type="dxa"/>
            <w:vAlign w:val="center"/>
          </w:tcPr>
          <w:p>
            <w:pPr>
              <w:pStyle w:val="16"/>
            </w:pPr>
            <w:r>
              <w:rPr>
                <w:rFonts w:hint="eastAsia"/>
              </w:rPr>
              <w:t>人大监督</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rPr>
          <w:trHeight w:val="369" w:hRule="atLeast"/>
          <w:jc w:val="center"/>
        </w:trPr>
        <w:tc>
          <w:tcPr>
            <w:tcW w:w="850" w:type="dxa"/>
            <w:vAlign w:val="center"/>
          </w:tcPr>
          <w:p>
            <w:pPr>
              <w:pStyle w:val="17"/>
            </w:pPr>
            <w:r>
              <w:t>7</w:t>
            </w:r>
          </w:p>
        </w:tc>
        <w:tc>
          <w:tcPr>
            <w:tcW w:w="1191" w:type="dxa"/>
            <w:vAlign w:val="center"/>
          </w:tcPr>
          <w:p>
            <w:pPr>
              <w:pStyle w:val="16"/>
            </w:pPr>
            <w:r>
              <w:t>2010108</w:t>
            </w:r>
          </w:p>
        </w:tc>
        <w:tc>
          <w:tcPr>
            <w:tcW w:w="4535" w:type="dxa"/>
            <w:vAlign w:val="center"/>
          </w:tcPr>
          <w:p>
            <w:pPr>
              <w:pStyle w:val="16"/>
            </w:pPr>
            <w:r>
              <w:rPr>
                <w:rFonts w:hint="eastAsia"/>
              </w:rPr>
              <w:t>代表工作</w:t>
            </w:r>
          </w:p>
        </w:tc>
        <w:tc>
          <w:tcPr>
            <w:tcW w:w="2551" w:type="dxa"/>
            <w:vAlign w:val="center"/>
          </w:tcPr>
          <w:p>
            <w:pPr>
              <w:pStyle w:val="15"/>
            </w:pPr>
            <w:r>
              <w:t>30.00</w:t>
            </w:r>
          </w:p>
        </w:tc>
        <w:tc>
          <w:tcPr>
            <w:tcW w:w="2551" w:type="dxa"/>
            <w:vAlign w:val="center"/>
          </w:tcPr>
          <w:p>
            <w:pPr>
              <w:pStyle w:val="15"/>
            </w:pPr>
          </w:p>
        </w:tc>
        <w:tc>
          <w:tcPr>
            <w:tcW w:w="2551" w:type="dxa"/>
            <w:vAlign w:val="center"/>
          </w:tcPr>
          <w:p>
            <w:pPr>
              <w:pStyle w:val="15"/>
            </w:pPr>
            <w:r>
              <w:t>30.00</w:t>
            </w:r>
          </w:p>
        </w:tc>
      </w:tr>
      <w:tr>
        <w:trPr>
          <w:trHeight w:val="369" w:hRule="atLeast"/>
          <w:jc w:val="center"/>
        </w:trPr>
        <w:tc>
          <w:tcPr>
            <w:tcW w:w="850" w:type="dxa"/>
            <w:vAlign w:val="center"/>
          </w:tcPr>
          <w:p>
            <w:pPr>
              <w:pStyle w:val="17"/>
            </w:pPr>
            <w:r>
              <w:t>8</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28.12</w:t>
            </w:r>
          </w:p>
        </w:tc>
        <w:tc>
          <w:tcPr>
            <w:tcW w:w="2551" w:type="dxa"/>
            <w:vAlign w:val="center"/>
          </w:tcPr>
          <w:p>
            <w:pPr>
              <w:pStyle w:val="15"/>
            </w:pPr>
            <w:r>
              <w:t>28.12</w:t>
            </w:r>
          </w:p>
        </w:tc>
        <w:tc>
          <w:tcPr>
            <w:tcW w:w="2551" w:type="dxa"/>
            <w:vAlign w:val="center"/>
          </w:tcPr>
          <w:p>
            <w:pPr>
              <w:pStyle w:val="15"/>
            </w:pPr>
          </w:p>
        </w:tc>
      </w:tr>
      <w:tr>
        <w:trPr>
          <w:trHeight w:val="369" w:hRule="atLeast"/>
          <w:jc w:val="center"/>
        </w:trPr>
        <w:tc>
          <w:tcPr>
            <w:tcW w:w="850" w:type="dxa"/>
            <w:vAlign w:val="center"/>
          </w:tcPr>
          <w:p>
            <w:pPr>
              <w:pStyle w:val="17"/>
            </w:pPr>
            <w:r>
              <w:t>9</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28.12</w:t>
            </w:r>
          </w:p>
        </w:tc>
        <w:tc>
          <w:tcPr>
            <w:tcW w:w="2551" w:type="dxa"/>
            <w:vAlign w:val="center"/>
          </w:tcPr>
          <w:p>
            <w:pPr>
              <w:pStyle w:val="15"/>
            </w:pPr>
            <w:r>
              <w:t>28.12</w:t>
            </w:r>
          </w:p>
        </w:tc>
        <w:tc>
          <w:tcPr>
            <w:tcW w:w="2551" w:type="dxa"/>
            <w:vAlign w:val="center"/>
          </w:tcPr>
          <w:p>
            <w:pPr>
              <w:pStyle w:val="15"/>
            </w:pPr>
          </w:p>
        </w:tc>
      </w:tr>
      <w:tr>
        <w:trPr>
          <w:trHeight w:val="369" w:hRule="atLeast"/>
          <w:jc w:val="center"/>
        </w:trPr>
        <w:tc>
          <w:tcPr>
            <w:tcW w:w="850" w:type="dxa"/>
            <w:vAlign w:val="center"/>
          </w:tcPr>
          <w:p>
            <w:pPr>
              <w:pStyle w:val="17"/>
            </w:pPr>
            <w:r>
              <w:t>10</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28.12</w:t>
            </w:r>
          </w:p>
        </w:tc>
        <w:tc>
          <w:tcPr>
            <w:tcW w:w="2551" w:type="dxa"/>
            <w:vAlign w:val="center"/>
          </w:tcPr>
          <w:p>
            <w:pPr>
              <w:pStyle w:val="15"/>
            </w:pPr>
            <w:r>
              <w:t>28.12</w:t>
            </w:r>
          </w:p>
        </w:tc>
        <w:tc>
          <w:tcPr>
            <w:tcW w:w="2551" w:type="dxa"/>
            <w:vAlign w:val="center"/>
          </w:tcPr>
          <w:p>
            <w:pPr>
              <w:pStyle w:val="15"/>
            </w:pPr>
          </w:p>
        </w:tc>
      </w:tr>
      <w:tr>
        <w:trPr>
          <w:trHeight w:val="369" w:hRule="atLeast"/>
          <w:jc w:val="center"/>
        </w:trPr>
        <w:tc>
          <w:tcPr>
            <w:tcW w:w="850" w:type="dxa"/>
            <w:vAlign w:val="center"/>
          </w:tcPr>
          <w:p>
            <w:pPr>
              <w:pStyle w:val="17"/>
            </w:pPr>
            <w:r>
              <w:t>11</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9.61</w:t>
            </w:r>
          </w:p>
        </w:tc>
        <w:tc>
          <w:tcPr>
            <w:tcW w:w="2551" w:type="dxa"/>
            <w:vAlign w:val="center"/>
          </w:tcPr>
          <w:p>
            <w:pPr>
              <w:pStyle w:val="15"/>
            </w:pPr>
            <w:r>
              <w:t>9.61</w:t>
            </w:r>
          </w:p>
        </w:tc>
        <w:tc>
          <w:tcPr>
            <w:tcW w:w="2551" w:type="dxa"/>
            <w:vAlign w:val="center"/>
          </w:tcPr>
          <w:p>
            <w:pPr>
              <w:pStyle w:val="15"/>
            </w:pPr>
          </w:p>
        </w:tc>
      </w:tr>
      <w:tr>
        <w:trPr>
          <w:trHeight w:val="369" w:hRule="atLeast"/>
          <w:jc w:val="center"/>
        </w:trPr>
        <w:tc>
          <w:tcPr>
            <w:tcW w:w="850" w:type="dxa"/>
            <w:vAlign w:val="center"/>
          </w:tcPr>
          <w:p>
            <w:pPr>
              <w:pStyle w:val="17"/>
            </w:pPr>
            <w:r>
              <w:t>12</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9.61</w:t>
            </w:r>
          </w:p>
        </w:tc>
        <w:tc>
          <w:tcPr>
            <w:tcW w:w="2551" w:type="dxa"/>
            <w:vAlign w:val="center"/>
          </w:tcPr>
          <w:p>
            <w:pPr>
              <w:pStyle w:val="15"/>
            </w:pPr>
            <w:r>
              <w:t>9.61</w:t>
            </w:r>
          </w:p>
        </w:tc>
        <w:tc>
          <w:tcPr>
            <w:tcW w:w="2551" w:type="dxa"/>
            <w:vAlign w:val="center"/>
          </w:tcPr>
          <w:p>
            <w:pPr>
              <w:pStyle w:val="15"/>
            </w:pPr>
          </w:p>
        </w:tc>
      </w:tr>
      <w:tr>
        <w:trPr>
          <w:trHeight w:val="369" w:hRule="atLeast"/>
          <w:jc w:val="center"/>
        </w:trPr>
        <w:tc>
          <w:tcPr>
            <w:tcW w:w="850" w:type="dxa"/>
            <w:vAlign w:val="center"/>
          </w:tcPr>
          <w:p>
            <w:pPr>
              <w:pStyle w:val="17"/>
            </w:pPr>
            <w:r>
              <w:t>13</w:t>
            </w:r>
          </w:p>
        </w:tc>
        <w:tc>
          <w:tcPr>
            <w:tcW w:w="1191" w:type="dxa"/>
            <w:vAlign w:val="center"/>
          </w:tcPr>
          <w:p>
            <w:pPr>
              <w:pStyle w:val="16"/>
            </w:pPr>
            <w:r>
              <w:t>2101101</w:t>
            </w:r>
          </w:p>
        </w:tc>
        <w:tc>
          <w:tcPr>
            <w:tcW w:w="4535" w:type="dxa"/>
            <w:vAlign w:val="center"/>
          </w:tcPr>
          <w:p>
            <w:pPr>
              <w:pStyle w:val="16"/>
            </w:pPr>
            <w:r>
              <w:rPr>
                <w:rFonts w:hint="eastAsia"/>
              </w:rPr>
              <w:t>行政单位医疗</w:t>
            </w:r>
          </w:p>
        </w:tc>
        <w:tc>
          <w:tcPr>
            <w:tcW w:w="2551" w:type="dxa"/>
            <w:vAlign w:val="center"/>
          </w:tcPr>
          <w:p>
            <w:pPr>
              <w:pStyle w:val="15"/>
            </w:pPr>
            <w:r>
              <w:t>9.61</w:t>
            </w:r>
          </w:p>
        </w:tc>
        <w:tc>
          <w:tcPr>
            <w:tcW w:w="2551" w:type="dxa"/>
            <w:vAlign w:val="center"/>
          </w:tcPr>
          <w:p>
            <w:pPr>
              <w:pStyle w:val="15"/>
            </w:pPr>
            <w:r>
              <w:t>9.61</w:t>
            </w:r>
          </w:p>
        </w:tc>
        <w:tc>
          <w:tcPr>
            <w:tcW w:w="2551" w:type="dxa"/>
            <w:vAlign w:val="center"/>
          </w:tcPr>
          <w:p>
            <w:pPr>
              <w:pStyle w:val="15"/>
            </w:pPr>
          </w:p>
        </w:tc>
      </w:tr>
      <w:tr>
        <w:trPr>
          <w:trHeight w:val="369" w:hRule="atLeast"/>
          <w:jc w:val="center"/>
        </w:trPr>
        <w:tc>
          <w:tcPr>
            <w:tcW w:w="850" w:type="dxa"/>
            <w:vAlign w:val="center"/>
          </w:tcPr>
          <w:p>
            <w:pPr>
              <w:pStyle w:val="17"/>
            </w:pPr>
            <w:r>
              <w:t>14</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17.58</w:t>
            </w:r>
          </w:p>
        </w:tc>
        <w:tc>
          <w:tcPr>
            <w:tcW w:w="2551" w:type="dxa"/>
            <w:vAlign w:val="center"/>
          </w:tcPr>
          <w:p>
            <w:pPr>
              <w:pStyle w:val="15"/>
            </w:pPr>
            <w:r>
              <w:t>17.58</w:t>
            </w:r>
          </w:p>
        </w:tc>
        <w:tc>
          <w:tcPr>
            <w:tcW w:w="2551" w:type="dxa"/>
            <w:vAlign w:val="center"/>
          </w:tcPr>
          <w:p>
            <w:pPr>
              <w:pStyle w:val="15"/>
            </w:pPr>
          </w:p>
        </w:tc>
      </w:tr>
      <w:tr>
        <w:trPr>
          <w:trHeight w:val="369" w:hRule="atLeast"/>
          <w:jc w:val="center"/>
        </w:trPr>
        <w:tc>
          <w:tcPr>
            <w:tcW w:w="850" w:type="dxa"/>
            <w:vAlign w:val="center"/>
          </w:tcPr>
          <w:p>
            <w:pPr>
              <w:pStyle w:val="17"/>
            </w:pPr>
            <w:r>
              <w:t>15</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17.58</w:t>
            </w:r>
          </w:p>
        </w:tc>
        <w:tc>
          <w:tcPr>
            <w:tcW w:w="2551" w:type="dxa"/>
            <w:vAlign w:val="center"/>
          </w:tcPr>
          <w:p>
            <w:pPr>
              <w:pStyle w:val="15"/>
            </w:pPr>
            <w:r>
              <w:t>17.58</w:t>
            </w:r>
          </w:p>
        </w:tc>
        <w:tc>
          <w:tcPr>
            <w:tcW w:w="2551" w:type="dxa"/>
            <w:vAlign w:val="center"/>
          </w:tcPr>
          <w:p>
            <w:pPr>
              <w:pStyle w:val="15"/>
            </w:pPr>
          </w:p>
        </w:tc>
      </w:tr>
      <w:tr>
        <w:trPr>
          <w:trHeight w:val="369" w:hRule="atLeast"/>
          <w:jc w:val="center"/>
        </w:trPr>
        <w:tc>
          <w:tcPr>
            <w:tcW w:w="850" w:type="dxa"/>
            <w:vAlign w:val="center"/>
          </w:tcPr>
          <w:p>
            <w:pPr>
              <w:pStyle w:val="17"/>
            </w:pPr>
            <w:r>
              <w:t>16</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17.58</w:t>
            </w:r>
          </w:p>
        </w:tc>
        <w:tc>
          <w:tcPr>
            <w:tcW w:w="2551" w:type="dxa"/>
            <w:vAlign w:val="center"/>
          </w:tcPr>
          <w:p>
            <w:pPr>
              <w:pStyle w:val="15"/>
            </w:pPr>
            <w:r>
              <w:t>17.58</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5" w:name="_Toc_2_2_0000000006"/>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2" w:type="dxa"/>
            <w:vAlign w:val="center"/>
          </w:tcPr>
          <w:p>
            <w:pPr>
              <w:pStyle w:val="14"/>
            </w:pPr>
            <w:r>
              <w:rPr>
                <w:rFonts w:hint="eastAsia"/>
              </w:rPr>
              <w:t>公用经费</w:t>
            </w:r>
          </w:p>
        </w:tc>
      </w:tr>
      <w:tr>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2" w:type="dxa"/>
            <w:vAlign w:val="center"/>
          </w:tcPr>
          <w:p>
            <w:pPr>
              <w:pStyle w:val="14"/>
            </w:pPr>
            <w:r>
              <w:t>5</w:t>
            </w:r>
          </w:p>
        </w:tc>
      </w:tr>
      <w:tr>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302.18</w:t>
            </w:r>
          </w:p>
        </w:tc>
        <w:tc>
          <w:tcPr>
            <w:tcW w:w="2551" w:type="dxa"/>
            <w:vAlign w:val="center"/>
          </w:tcPr>
          <w:p>
            <w:pPr>
              <w:pStyle w:val="19"/>
            </w:pPr>
            <w:r>
              <w:t>227.41</w:t>
            </w:r>
          </w:p>
        </w:tc>
        <w:tc>
          <w:tcPr>
            <w:tcW w:w="2552" w:type="dxa"/>
            <w:vAlign w:val="center"/>
          </w:tcPr>
          <w:p>
            <w:pPr>
              <w:pStyle w:val="19"/>
            </w:pPr>
            <w:r>
              <w:t>74.77</w:t>
            </w:r>
          </w:p>
        </w:tc>
      </w:tr>
      <w:tr>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225.15</w:t>
            </w:r>
          </w:p>
        </w:tc>
        <w:tc>
          <w:tcPr>
            <w:tcW w:w="2551" w:type="dxa"/>
            <w:vAlign w:val="center"/>
          </w:tcPr>
          <w:p>
            <w:pPr>
              <w:pStyle w:val="15"/>
            </w:pPr>
            <w:r>
              <w:t>225.15</w:t>
            </w:r>
          </w:p>
        </w:tc>
        <w:tc>
          <w:tcPr>
            <w:tcW w:w="2552" w:type="dxa"/>
            <w:vAlign w:val="center"/>
          </w:tcPr>
          <w:p>
            <w:pPr>
              <w:pStyle w:val="15"/>
            </w:pPr>
          </w:p>
        </w:tc>
      </w:tr>
      <w:tr>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102.35</w:t>
            </w:r>
          </w:p>
        </w:tc>
        <w:tc>
          <w:tcPr>
            <w:tcW w:w="2551" w:type="dxa"/>
            <w:vAlign w:val="center"/>
          </w:tcPr>
          <w:p>
            <w:pPr>
              <w:pStyle w:val="15"/>
            </w:pPr>
            <w:r>
              <w:t>102.35</w:t>
            </w:r>
          </w:p>
        </w:tc>
        <w:tc>
          <w:tcPr>
            <w:tcW w:w="2552" w:type="dxa"/>
            <w:vAlign w:val="center"/>
          </w:tcPr>
          <w:p>
            <w:pPr>
              <w:pStyle w:val="15"/>
            </w:pPr>
          </w:p>
        </w:tc>
      </w:tr>
      <w:tr>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57.58</w:t>
            </w:r>
          </w:p>
        </w:tc>
        <w:tc>
          <w:tcPr>
            <w:tcW w:w="2551" w:type="dxa"/>
            <w:vAlign w:val="center"/>
          </w:tcPr>
          <w:p>
            <w:pPr>
              <w:pStyle w:val="15"/>
            </w:pPr>
            <w:r>
              <w:t>57.58</w:t>
            </w:r>
          </w:p>
        </w:tc>
        <w:tc>
          <w:tcPr>
            <w:tcW w:w="2552" w:type="dxa"/>
            <w:vAlign w:val="center"/>
          </w:tcPr>
          <w:p>
            <w:pPr>
              <w:pStyle w:val="15"/>
            </w:pPr>
          </w:p>
        </w:tc>
      </w:tr>
      <w:tr>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8.83</w:t>
            </w:r>
          </w:p>
        </w:tc>
        <w:tc>
          <w:tcPr>
            <w:tcW w:w="2551" w:type="dxa"/>
            <w:vAlign w:val="center"/>
          </w:tcPr>
          <w:p>
            <w:pPr>
              <w:pStyle w:val="15"/>
            </w:pPr>
            <w:r>
              <w:t>8.83</w:t>
            </w:r>
          </w:p>
        </w:tc>
        <w:tc>
          <w:tcPr>
            <w:tcW w:w="2552" w:type="dxa"/>
            <w:vAlign w:val="center"/>
          </w:tcPr>
          <w:p>
            <w:pPr>
              <w:pStyle w:val="15"/>
            </w:pPr>
          </w:p>
        </w:tc>
      </w:tr>
      <w:tr>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28.12</w:t>
            </w:r>
          </w:p>
        </w:tc>
        <w:tc>
          <w:tcPr>
            <w:tcW w:w="2551" w:type="dxa"/>
            <w:vAlign w:val="center"/>
          </w:tcPr>
          <w:p>
            <w:pPr>
              <w:pStyle w:val="15"/>
            </w:pPr>
            <w:r>
              <w:t>28.12</w:t>
            </w:r>
          </w:p>
        </w:tc>
        <w:tc>
          <w:tcPr>
            <w:tcW w:w="2552" w:type="dxa"/>
            <w:vAlign w:val="center"/>
          </w:tcPr>
          <w:p>
            <w:pPr>
              <w:pStyle w:val="15"/>
            </w:pPr>
          </w:p>
        </w:tc>
      </w:tr>
      <w:tr>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9.61</w:t>
            </w:r>
          </w:p>
        </w:tc>
        <w:tc>
          <w:tcPr>
            <w:tcW w:w="2551" w:type="dxa"/>
            <w:vAlign w:val="center"/>
          </w:tcPr>
          <w:p>
            <w:pPr>
              <w:pStyle w:val="15"/>
            </w:pPr>
            <w:r>
              <w:t>9.61</w:t>
            </w:r>
          </w:p>
        </w:tc>
        <w:tc>
          <w:tcPr>
            <w:tcW w:w="2552" w:type="dxa"/>
            <w:vAlign w:val="center"/>
          </w:tcPr>
          <w:p>
            <w:pPr>
              <w:pStyle w:val="15"/>
            </w:pPr>
          </w:p>
        </w:tc>
      </w:tr>
      <w:tr>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1.08</w:t>
            </w:r>
          </w:p>
        </w:tc>
        <w:tc>
          <w:tcPr>
            <w:tcW w:w="2551" w:type="dxa"/>
            <w:vAlign w:val="center"/>
          </w:tcPr>
          <w:p>
            <w:pPr>
              <w:pStyle w:val="15"/>
            </w:pPr>
            <w:r>
              <w:t>1.08</w:t>
            </w:r>
          </w:p>
        </w:tc>
        <w:tc>
          <w:tcPr>
            <w:tcW w:w="2552" w:type="dxa"/>
            <w:vAlign w:val="center"/>
          </w:tcPr>
          <w:p>
            <w:pPr>
              <w:pStyle w:val="15"/>
            </w:pPr>
          </w:p>
        </w:tc>
      </w:tr>
      <w:tr>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17.58</w:t>
            </w:r>
          </w:p>
        </w:tc>
        <w:tc>
          <w:tcPr>
            <w:tcW w:w="2551" w:type="dxa"/>
            <w:vAlign w:val="center"/>
          </w:tcPr>
          <w:p>
            <w:pPr>
              <w:pStyle w:val="15"/>
            </w:pPr>
            <w:r>
              <w:t>17.58</w:t>
            </w:r>
          </w:p>
        </w:tc>
        <w:tc>
          <w:tcPr>
            <w:tcW w:w="2552" w:type="dxa"/>
            <w:vAlign w:val="center"/>
          </w:tcPr>
          <w:p>
            <w:pPr>
              <w:pStyle w:val="15"/>
            </w:pPr>
          </w:p>
        </w:tc>
      </w:tr>
      <w:tr>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74.77</w:t>
            </w:r>
          </w:p>
        </w:tc>
        <w:tc>
          <w:tcPr>
            <w:tcW w:w="2551" w:type="dxa"/>
            <w:vAlign w:val="center"/>
          </w:tcPr>
          <w:p>
            <w:pPr>
              <w:pStyle w:val="15"/>
            </w:pPr>
          </w:p>
        </w:tc>
        <w:tc>
          <w:tcPr>
            <w:tcW w:w="2552" w:type="dxa"/>
            <w:vAlign w:val="center"/>
          </w:tcPr>
          <w:p>
            <w:pPr>
              <w:pStyle w:val="15"/>
            </w:pPr>
            <w:r>
              <w:t>74.77</w:t>
            </w:r>
          </w:p>
        </w:tc>
      </w:tr>
      <w:tr>
        <w:trPr>
          <w:trHeight w:val="369" w:hRule="atLeast"/>
          <w:jc w:val="center"/>
        </w:trPr>
        <w:tc>
          <w:tcPr>
            <w:tcW w:w="850" w:type="dxa"/>
            <w:vAlign w:val="center"/>
          </w:tcPr>
          <w:p>
            <w:pPr>
              <w:pStyle w:val="17"/>
            </w:pPr>
            <w:r>
              <w:t>11</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23.22</w:t>
            </w:r>
          </w:p>
        </w:tc>
        <w:tc>
          <w:tcPr>
            <w:tcW w:w="2551" w:type="dxa"/>
            <w:vAlign w:val="center"/>
          </w:tcPr>
          <w:p>
            <w:pPr>
              <w:pStyle w:val="15"/>
            </w:pPr>
          </w:p>
        </w:tc>
        <w:tc>
          <w:tcPr>
            <w:tcW w:w="2552" w:type="dxa"/>
            <w:vAlign w:val="center"/>
          </w:tcPr>
          <w:p>
            <w:pPr>
              <w:pStyle w:val="15"/>
            </w:pPr>
            <w:r>
              <w:t>23.22</w:t>
            </w:r>
          </w:p>
        </w:tc>
      </w:tr>
      <w:tr>
        <w:trPr>
          <w:trHeight w:val="369" w:hRule="atLeast"/>
          <w:jc w:val="center"/>
        </w:trPr>
        <w:tc>
          <w:tcPr>
            <w:tcW w:w="850" w:type="dxa"/>
            <w:vAlign w:val="center"/>
          </w:tcPr>
          <w:p>
            <w:pPr>
              <w:pStyle w:val="17"/>
            </w:pPr>
            <w:r>
              <w:t>12</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10.92</w:t>
            </w:r>
          </w:p>
        </w:tc>
        <w:tc>
          <w:tcPr>
            <w:tcW w:w="2551" w:type="dxa"/>
            <w:vAlign w:val="center"/>
          </w:tcPr>
          <w:p>
            <w:pPr>
              <w:pStyle w:val="15"/>
            </w:pPr>
          </w:p>
        </w:tc>
        <w:tc>
          <w:tcPr>
            <w:tcW w:w="2552" w:type="dxa"/>
            <w:vAlign w:val="center"/>
          </w:tcPr>
          <w:p>
            <w:pPr>
              <w:pStyle w:val="15"/>
            </w:pPr>
            <w:r>
              <w:t>10.92</w:t>
            </w:r>
          </w:p>
        </w:tc>
      </w:tr>
      <w:tr>
        <w:trPr>
          <w:trHeight w:val="369" w:hRule="atLeast"/>
          <w:jc w:val="center"/>
        </w:trPr>
        <w:tc>
          <w:tcPr>
            <w:tcW w:w="850" w:type="dxa"/>
            <w:vAlign w:val="center"/>
          </w:tcPr>
          <w:p>
            <w:pPr>
              <w:pStyle w:val="17"/>
            </w:pPr>
            <w:r>
              <w:t>13</w:t>
            </w:r>
          </w:p>
        </w:tc>
        <w:tc>
          <w:tcPr>
            <w:tcW w:w="1191" w:type="dxa"/>
            <w:vAlign w:val="center"/>
          </w:tcPr>
          <w:p>
            <w:pPr>
              <w:pStyle w:val="16"/>
            </w:pPr>
            <w:r>
              <w:t>30217</w:t>
            </w:r>
          </w:p>
        </w:tc>
        <w:tc>
          <w:tcPr>
            <w:tcW w:w="4535" w:type="dxa"/>
            <w:vAlign w:val="center"/>
          </w:tcPr>
          <w:p>
            <w:pPr>
              <w:pStyle w:val="16"/>
            </w:pPr>
            <w:r>
              <w:rPr>
                <w:rFonts w:hint="eastAsia"/>
              </w:rPr>
              <w:t>公务接待费</w:t>
            </w:r>
          </w:p>
        </w:tc>
        <w:tc>
          <w:tcPr>
            <w:tcW w:w="2551" w:type="dxa"/>
            <w:vAlign w:val="center"/>
          </w:tcPr>
          <w:p>
            <w:pPr>
              <w:pStyle w:val="15"/>
            </w:pPr>
            <w:r>
              <w:t>6.50</w:t>
            </w:r>
          </w:p>
        </w:tc>
        <w:tc>
          <w:tcPr>
            <w:tcW w:w="2551" w:type="dxa"/>
            <w:vAlign w:val="center"/>
          </w:tcPr>
          <w:p>
            <w:pPr>
              <w:pStyle w:val="15"/>
            </w:pPr>
          </w:p>
        </w:tc>
        <w:tc>
          <w:tcPr>
            <w:tcW w:w="2552" w:type="dxa"/>
            <w:vAlign w:val="center"/>
          </w:tcPr>
          <w:p>
            <w:pPr>
              <w:pStyle w:val="15"/>
            </w:pPr>
            <w:r>
              <w:t>6.50</w:t>
            </w:r>
          </w:p>
        </w:tc>
      </w:tr>
      <w:tr>
        <w:trPr>
          <w:trHeight w:val="369" w:hRule="atLeast"/>
          <w:jc w:val="center"/>
        </w:trPr>
        <w:tc>
          <w:tcPr>
            <w:tcW w:w="850" w:type="dxa"/>
            <w:vAlign w:val="center"/>
          </w:tcPr>
          <w:p>
            <w:pPr>
              <w:pStyle w:val="17"/>
            </w:pPr>
            <w:r>
              <w:t>14</w:t>
            </w:r>
          </w:p>
        </w:tc>
        <w:tc>
          <w:tcPr>
            <w:tcW w:w="1191" w:type="dxa"/>
            <w:vAlign w:val="center"/>
          </w:tcPr>
          <w:p>
            <w:pPr>
              <w:pStyle w:val="16"/>
            </w:pPr>
            <w:r>
              <w:t>30228</w:t>
            </w:r>
          </w:p>
        </w:tc>
        <w:tc>
          <w:tcPr>
            <w:tcW w:w="4535" w:type="dxa"/>
            <w:vAlign w:val="center"/>
          </w:tcPr>
          <w:p>
            <w:pPr>
              <w:pStyle w:val="16"/>
            </w:pPr>
            <w:r>
              <w:rPr>
                <w:rFonts w:hint="eastAsia"/>
              </w:rPr>
              <w:t>工会经费</w:t>
            </w:r>
          </w:p>
        </w:tc>
        <w:tc>
          <w:tcPr>
            <w:tcW w:w="2551" w:type="dxa"/>
            <w:vAlign w:val="center"/>
          </w:tcPr>
          <w:p>
            <w:pPr>
              <w:pStyle w:val="15"/>
            </w:pPr>
            <w:r>
              <w:t>0.27</w:t>
            </w:r>
          </w:p>
        </w:tc>
        <w:tc>
          <w:tcPr>
            <w:tcW w:w="2551" w:type="dxa"/>
            <w:vAlign w:val="center"/>
          </w:tcPr>
          <w:p>
            <w:pPr>
              <w:pStyle w:val="15"/>
            </w:pPr>
          </w:p>
        </w:tc>
        <w:tc>
          <w:tcPr>
            <w:tcW w:w="2552" w:type="dxa"/>
            <w:vAlign w:val="center"/>
          </w:tcPr>
          <w:p>
            <w:pPr>
              <w:pStyle w:val="15"/>
            </w:pPr>
            <w:r>
              <w:t>0.27</w:t>
            </w:r>
          </w:p>
        </w:tc>
      </w:tr>
      <w:tr>
        <w:trPr>
          <w:trHeight w:val="369" w:hRule="atLeast"/>
          <w:jc w:val="center"/>
        </w:trPr>
        <w:tc>
          <w:tcPr>
            <w:tcW w:w="850" w:type="dxa"/>
            <w:vAlign w:val="center"/>
          </w:tcPr>
          <w:p>
            <w:pPr>
              <w:pStyle w:val="17"/>
            </w:pPr>
            <w:r>
              <w:t>15</w:t>
            </w:r>
          </w:p>
        </w:tc>
        <w:tc>
          <w:tcPr>
            <w:tcW w:w="1191" w:type="dxa"/>
            <w:vAlign w:val="center"/>
          </w:tcPr>
          <w:p>
            <w:pPr>
              <w:pStyle w:val="16"/>
            </w:pPr>
            <w:r>
              <w:t>30229</w:t>
            </w:r>
          </w:p>
        </w:tc>
        <w:tc>
          <w:tcPr>
            <w:tcW w:w="4535" w:type="dxa"/>
            <w:vAlign w:val="center"/>
          </w:tcPr>
          <w:p>
            <w:pPr>
              <w:pStyle w:val="16"/>
            </w:pPr>
            <w:r>
              <w:rPr>
                <w:rFonts w:hint="eastAsia"/>
              </w:rPr>
              <w:t>福利费</w:t>
            </w:r>
          </w:p>
        </w:tc>
        <w:tc>
          <w:tcPr>
            <w:tcW w:w="2551" w:type="dxa"/>
            <w:vAlign w:val="center"/>
          </w:tcPr>
          <w:p>
            <w:pPr>
              <w:pStyle w:val="15"/>
            </w:pPr>
            <w:r>
              <w:t>2.70</w:t>
            </w:r>
          </w:p>
        </w:tc>
        <w:tc>
          <w:tcPr>
            <w:tcW w:w="2551" w:type="dxa"/>
            <w:vAlign w:val="center"/>
          </w:tcPr>
          <w:p>
            <w:pPr>
              <w:pStyle w:val="15"/>
            </w:pPr>
          </w:p>
        </w:tc>
        <w:tc>
          <w:tcPr>
            <w:tcW w:w="2552" w:type="dxa"/>
            <w:vAlign w:val="center"/>
          </w:tcPr>
          <w:p>
            <w:pPr>
              <w:pStyle w:val="15"/>
            </w:pPr>
            <w:r>
              <w:t>2.70</w:t>
            </w:r>
          </w:p>
        </w:tc>
      </w:tr>
      <w:tr>
        <w:trPr>
          <w:trHeight w:val="369" w:hRule="atLeast"/>
          <w:jc w:val="center"/>
        </w:trPr>
        <w:tc>
          <w:tcPr>
            <w:tcW w:w="850" w:type="dxa"/>
            <w:vAlign w:val="center"/>
          </w:tcPr>
          <w:p>
            <w:pPr>
              <w:pStyle w:val="17"/>
            </w:pPr>
            <w:r>
              <w:t>16</w:t>
            </w:r>
          </w:p>
        </w:tc>
        <w:tc>
          <w:tcPr>
            <w:tcW w:w="1191" w:type="dxa"/>
            <w:vAlign w:val="center"/>
          </w:tcPr>
          <w:p>
            <w:pPr>
              <w:pStyle w:val="16"/>
            </w:pPr>
            <w:r>
              <w:t>30231</w:t>
            </w:r>
          </w:p>
        </w:tc>
        <w:tc>
          <w:tcPr>
            <w:tcW w:w="4535" w:type="dxa"/>
            <w:vAlign w:val="center"/>
          </w:tcPr>
          <w:p>
            <w:pPr>
              <w:pStyle w:val="16"/>
            </w:pPr>
            <w:r>
              <w:rPr>
                <w:rFonts w:hint="eastAsia"/>
              </w:rPr>
              <w:t>公务用车运行维护费</w:t>
            </w:r>
          </w:p>
        </w:tc>
        <w:tc>
          <w:tcPr>
            <w:tcW w:w="2551" w:type="dxa"/>
            <w:vAlign w:val="center"/>
          </w:tcPr>
          <w:p>
            <w:pPr>
              <w:pStyle w:val="15"/>
            </w:pPr>
            <w:r>
              <w:t>9.80</w:t>
            </w:r>
          </w:p>
        </w:tc>
        <w:tc>
          <w:tcPr>
            <w:tcW w:w="2551" w:type="dxa"/>
            <w:vAlign w:val="center"/>
          </w:tcPr>
          <w:p>
            <w:pPr>
              <w:pStyle w:val="15"/>
            </w:pPr>
          </w:p>
        </w:tc>
        <w:tc>
          <w:tcPr>
            <w:tcW w:w="2552" w:type="dxa"/>
            <w:vAlign w:val="center"/>
          </w:tcPr>
          <w:p>
            <w:pPr>
              <w:pStyle w:val="15"/>
            </w:pPr>
            <w:r>
              <w:t>9.80</w:t>
            </w:r>
          </w:p>
        </w:tc>
      </w:tr>
      <w:tr>
        <w:trPr>
          <w:trHeight w:val="369" w:hRule="atLeast"/>
          <w:jc w:val="center"/>
        </w:trPr>
        <w:tc>
          <w:tcPr>
            <w:tcW w:w="850" w:type="dxa"/>
            <w:vAlign w:val="center"/>
          </w:tcPr>
          <w:p>
            <w:pPr>
              <w:pStyle w:val="17"/>
            </w:pPr>
            <w:r>
              <w:t>17</w:t>
            </w:r>
          </w:p>
        </w:tc>
        <w:tc>
          <w:tcPr>
            <w:tcW w:w="1191" w:type="dxa"/>
            <w:vAlign w:val="center"/>
          </w:tcPr>
          <w:p>
            <w:pPr>
              <w:pStyle w:val="16"/>
            </w:pPr>
            <w:r>
              <w:t>30239</w:t>
            </w:r>
          </w:p>
        </w:tc>
        <w:tc>
          <w:tcPr>
            <w:tcW w:w="4535" w:type="dxa"/>
            <w:vAlign w:val="center"/>
          </w:tcPr>
          <w:p>
            <w:pPr>
              <w:pStyle w:val="16"/>
            </w:pPr>
            <w:r>
              <w:rPr>
                <w:rFonts w:hint="eastAsia"/>
              </w:rPr>
              <w:t>其他交通费用</w:t>
            </w:r>
          </w:p>
        </w:tc>
        <w:tc>
          <w:tcPr>
            <w:tcW w:w="2551" w:type="dxa"/>
            <w:vAlign w:val="center"/>
          </w:tcPr>
          <w:p>
            <w:pPr>
              <w:pStyle w:val="15"/>
            </w:pPr>
            <w:r>
              <w:t>18.65</w:t>
            </w:r>
          </w:p>
        </w:tc>
        <w:tc>
          <w:tcPr>
            <w:tcW w:w="2551" w:type="dxa"/>
            <w:vAlign w:val="center"/>
          </w:tcPr>
          <w:p>
            <w:pPr>
              <w:pStyle w:val="15"/>
            </w:pPr>
          </w:p>
        </w:tc>
        <w:tc>
          <w:tcPr>
            <w:tcW w:w="2552" w:type="dxa"/>
            <w:vAlign w:val="center"/>
          </w:tcPr>
          <w:p>
            <w:pPr>
              <w:pStyle w:val="15"/>
            </w:pPr>
            <w:r>
              <w:t>18.65</w:t>
            </w:r>
          </w:p>
        </w:tc>
      </w:tr>
      <w:tr>
        <w:trPr>
          <w:trHeight w:val="369" w:hRule="atLeast"/>
          <w:jc w:val="center"/>
        </w:trPr>
        <w:tc>
          <w:tcPr>
            <w:tcW w:w="850" w:type="dxa"/>
            <w:vAlign w:val="center"/>
          </w:tcPr>
          <w:p>
            <w:pPr>
              <w:pStyle w:val="17"/>
            </w:pPr>
            <w:r>
              <w:t>18</w:t>
            </w:r>
          </w:p>
        </w:tc>
        <w:tc>
          <w:tcPr>
            <w:tcW w:w="1191" w:type="dxa"/>
            <w:vAlign w:val="center"/>
          </w:tcPr>
          <w:p>
            <w:pPr>
              <w:pStyle w:val="16"/>
            </w:pPr>
            <w:r>
              <w:t>30299</w:t>
            </w:r>
          </w:p>
        </w:tc>
        <w:tc>
          <w:tcPr>
            <w:tcW w:w="4535" w:type="dxa"/>
            <w:vAlign w:val="center"/>
          </w:tcPr>
          <w:p>
            <w:pPr>
              <w:pStyle w:val="16"/>
            </w:pPr>
            <w:r>
              <w:rPr>
                <w:rFonts w:hint="eastAsia"/>
              </w:rPr>
              <w:t>其他商品和服务支出</w:t>
            </w:r>
          </w:p>
        </w:tc>
        <w:tc>
          <w:tcPr>
            <w:tcW w:w="2551" w:type="dxa"/>
            <w:vAlign w:val="center"/>
          </w:tcPr>
          <w:p>
            <w:pPr>
              <w:pStyle w:val="15"/>
            </w:pPr>
            <w:r>
              <w:t>2.71</w:t>
            </w:r>
          </w:p>
        </w:tc>
        <w:tc>
          <w:tcPr>
            <w:tcW w:w="2551" w:type="dxa"/>
            <w:vAlign w:val="center"/>
          </w:tcPr>
          <w:p>
            <w:pPr>
              <w:pStyle w:val="15"/>
            </w:pPr>
          </w:p>
        </w:tc>
        <w:tc>
          <w:tcPr>
            <w:tcW w:w="2552" w:type="dxa"/>
            <w:vAlign w:val="center"/>
          </w:tcPr>
          <w:p>
            <w:pPr>
              <w:pStyle w:val="15"/>
            </w:pPr>
            <w:r>
              <w:t>2.71</w:t>
            </w:r>
          </w:p>
        </w:tc>
      </w:tr>
      <w:tr>
        <w:trPr>
          <w:trHeight w:val="369" w:hRule="atLeast"/>
          <w:jc w:val="center"/>
        </w:trPr>
        <w:tc>
          <w:tcPr>
            <w:tcW w:w="850" w:type="dxa"/>
            <w:vAlign w:val="center"/>
          </w:tcPr>
          <w:p>
            <w:pPr>
              <w:pStyle w:val="17"/>
            </w:pPr>
            <w:r>
              <w:t>19</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2.26</w:t>
            </w:r>
          </w:p>
        </w:tc>
        <w:tc>
          <w:tcPr>
            <w:tcW w:w="2551" w:type="dxa"/>
            <w:vAlign w:val="center"/>
          </w:tcPr>
          <w:p>
            <w:pPr>
              <w:pStyle w:val="15"/>
            </w:pPr>
            <w:r>
              <w:t>2.26</w:t>
            </w:r>
          </w:p>
        </w:tc>
        <w:tc>
          <w:tcPr>
            <w:tcW w:w="2552" w:type="dxa"/>
            <w:vAlign w:val="center"/>
          </w:tcPr>
          <w:p>
            <w:pPr>
              <w:pStyle w:val="15"/>
            </w:pPr>
          </w:p>
        </w:tc>
      </w:tr>
      <w:tr>
        <w:trPr>
          <w:trHeight w:val="369" w:hRule="atLeast"/>
          <w:jc w:val="center"/>
        </w:trPr>
        <w:tc>
          <w:tcPr>
            <w:tcW w:w="850" w:type="dxa"/>
            <w:vAlign w:val="center"/>
          </w:tcPr>
          <w:p>
            <w:pPr>
              <w:pStyle w:val="17"/>
            </w:pPr>
            <w:r>
              <w:t>20</w:t>
            </w:r>
          </w:p>
        </w:tc>
        <w:tc>
          <w:tcPr>
            <w:tcW w:w="1191" w:type="dxa"/>
            <w:vAlign w:val="center"/>
          </w:tcPr>
          <w:p>
            <w:pPr>
              <w:pStyle w:val="16"/>
            </w:pPr>
            <w:r>
              <w:t>30302</w:t>
            </w:r>
          </w:p>
        </w:tc>
        <w:tc>
          <w:tcPr>
            <w:tcW w:w="4535" w:type="dxa"/>
            <w:vAlign w:val="center"/>
          </w:tcPr>
          <w:p>
            <w:pPr>
              <w:pStyle w:val="16"/>
            </w:pPr>
            <w:r>
              <w:rPr>
                <w:rFonts w:hint="eastAsia"/>
              </w:rPr>
              <w:t>退休费</w:t>
            </w:r>
          </w:p>
        </w:tc>
        <w:tc>
          <w:tcPr>
            <w:tcW w:w="2551" w:type="dxa"/>
            <w:vAlign w:val="center"/>
          </w:tcPr>
          <w:p>
            <w:pPr>
              <w:pStyle w:val="15"/>
            </w:pPr>
            <w:r>
              <w:t>2.26</w:t>
            </w:r>
          </w:p>
        </w:tc>
        <w:tc>
          <w:tcPr>
            <w:tcW w:w="2551" w:type="dxa"/>
            <w:vAlign w:val="center"/>
          </w:tcPr>
          <w:p>
            <w:pPr>
              <w:pStyle w:val="15"/>
            </w:pPr>
            <w:r>
              <w:t>2.26</w:t>
            </w:r>
          </w:p>
        </w:tc>
        <w:tc>
          <w:tcPr>
            <w:tcW w:w="2552" w:type="dxa"/>
            <w:vAlign w:val="center"/>
          </w:tcPr>
          <w:p>
            <w:pPr>
              <w:pStyle w:val="15"/>
            </w:pPr>
          </w:p>
        </w:tc>
      </w:tr>
    </w:tbl>
    <w:p>
      <w:pPr>
        <w:sectPr>
          <w:pgSz w:w="16840" w:h="11900" w:orient="landscape"/>
          <w:pgMar w:top="1361" w:right="1020" w:bottom="1134" w:left="1020" w:header="720" w:footer="720" w:gutter="0"/>
          <w:pgNumType w:fmt="decimal"/>
          <w:cols w:space="720" w:num="1"/>
          <w:docGrid w:linePitch="326"/>
        </w:sectPr>
      </w:pPr>
    </w:p>
    <w:p>
      <w:pPr>
        <w:jc w:val="center"/>
        <w:outlineLvl w:val="1"/>
      </w:pPr>
      <w:bookmarkStart w:id="6" w:name="_Toc_2_2_0000000007"/>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docGrid w:linePitch="326"/>
        </w:sectPr>
      </w:pPr>
      <w:r>
        <w:rPr>
          <w:rFonts w:hint="eastAsia" w:asci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docGrid w:linePitch="326"/>
        </w:sectPr>
      </w:pPr>
      <w:r>
        <w:rPr>
          <w:rFonts w:hint="eastAsia" w:asci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eastAsia="方正小标宋_GBK" w:cs="方正小标宋_GBK"/>
          <w:color w:val="000000"/>
          <w:sz w:val="36"/>
        </w:rPr>
        <w:t>单位</w:t>
      </w:r>
      <w:r>
        <w:rPr>
          <w:rFonts w:hint="eastAsia" w:ascii="方正小标宋_GBK" w:eastAsia="方正小标宋_GBK" w:cs="方正小标宋_GBK"/>
          <w:color w:val="000000"/>
          <w:sz w:val="36"/>
        </w:rPr>
        <w:t>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w:t>
            </w:r>
            <w:r>
              <w:rPr>
                <w:rFonts w:hint="eastAsia"/>
                <w:lang w:eastAsia="zh-CN"/>
              </w:rPr>
              <w:t>万</w:t>
            </w:r>
            <w:r>
              <w:rPr>
                <w:rFonts w:hint="eastAsia"/>
              </w:rPr>
              <w:t>元</w:t>
            </w:r>
          </w:p>
        </w:tc>
      </w:tr>
      <w:tr>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5"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rPr>
          <w:trHeight w:val="567" w:hRule="atLeast"/>
          <w:tblHeader/>
          <w:jc w:val="center"/>
        </w:trPr>
        <w:tc>
          <w:tcPr>
            <w:tcW w:w="850" w:type="dxa"/>
            <w:vAlign w:val="center"/>
          </w:tcPr>
          <w:p>
            <w:pPr>
              <w:pStyle w:val="14"/>
              <w:rPr>
                <w:lang w:eastAsia="zh-CN"/>
              </w:rPr>
            </w:pPr>
            <w:r>
              <w:t>1</w:t>
            </w:r>
          </w:p>
        </w:tc>
        <w:tc>
          <w:tcPr>
            <w:tcW w:w="3798" w:type="dxa"/>
            <w:vAlign w:val="center"/>
          </w:tcPr>
          <w:p>
            <w:pPr>
              <w:pStyle w:val="8"/>
              <w:rPr>
                <w:rFonts w:ascii="方正书宋_GBK" w:eastAsia="方正书宋_GBK"/>
                <w:b/>
              </w:rPr>
            </w:pPr>
            <w:r>
              <w:rPr>
                <w:rFonts w:hint="eastAsia" w:ascii="方正书宋_GBK" w:eastAsia="方正书宋_GBK"/>
                <w:b/>
              </w:rPr>
              <w:t>合计</w:t>
            </w:r>
          </w:p>
        </w:tc>
        <w:tc>
          <w:tcPr>
            <w:tcW w:w="2382" w:type="dxa"/>
            <w:vAlign w:val="center"/>
          </w:tcPr>
          <w:p>
            <w:pPr>
              <w:pStyle w:val="8"/>
              <w:jc w:val="center"/>
              <w:rPr>
                <w:rFonts w:ascii="方正书宋_GBK" w:eastAsia="方正书宋_GBK"/>
                <w:b/>
              </w:rPr>
            </w:pPr>
            <w:r>
              <w:rPr>
                <w:rFonts w:ascii="方正书宋_GBK" w:hAnsi="方正书宋_GBK"/>
                <w:b/>
              </w:rPr>
              <w:t>1</w:t>
            </w:r>
            <w:r>
              <w:rPr>
                <w:rFonts w:ascii="方正书宋_GBK" w:hAnsi="方正书宋_GBK"/>
                <w:b/>
                <w:lang w:eastAsia="zh-CN"/>
              </w:rPr>
              <w:t>6.30</w:t>
            </w:r>
          </w:p>
        </w:tc>
        <w:tc>
          <w:tcPr>
            <w:tcW w:w="2381" w:type="dxa"/>
            <w:vAlign w:val="center"/>
          </w:tcPr>
          <w:p>
            <w:pPr>
              <w:pStyle w:val="8"/>
              <w:jc w:val="center"/>
              <w:rPr>
                <w:rFonts w:ascii="方正书宋_GBK" w:eastAsia="方正书宋_GBK"/>
                <w:b/>
              </w:rPr>
            </w:pPr>
            <w:r>
              <w:rPr>
                <w:rFonts w:ascii="方正书宋_GBK" w:hAnsi="方正书宋_GBK"/>
                <w:b/>
              </w:rPr>
              <w:t>1</w:t>
            </w:r>
            <w:r>
              <w:rPr>
                <w:rFonts w:ascii="方正书宋_GBK" w:hAnsi="方正书宋_GBK"/>
                <w:b/>
                <w:lang w:eastAsia="zh-CN"/>
              </w:rPr>
              <w:t>6.30</w:t>
            </w: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2</w:t>
            </w:r>
          </w:p>
        </w:tc>
        <w:tc>
          <w:tcPr>
            <w:tcW w:w="3798" w:type="dxa"/>
            <w:vAlign w:val="center"/>
          </w:tcPr>
          <w:p>
            <w:pPr>
              <w:pStyle w:val="8"/>
              <w:jc w:val="center"/>
              <w:rPr>
                <w:rFonts w:ascii="方正书宋_GBK" w:eastAsia="方正书宋_GBK"/>
              </w:rPr>
            </w:pPr>
            <w:r>
              <w:rPr>
                <w:rFonts w:hint="eastAsia" w:ascii="方正书宋_GBK" w:eastAsia="方正书宋_GBK"/>
              </w:rPr>
              <w:t>一、因公出国（境）费</w:t>
            </w:r>
          </w:p>
        </w:tc>
        <w:tc>
          <w:tcPr>
            <w:tcW w:w="2382"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r>
              <w:rPr>
                <w:rFonts w:ascii="方正书宋_GBK" w:hAnsi="方正书宋_GBK"/>
              </w:rPr>
              <w:t>0</w:t>
            </w: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3</w:t>
            </w:r>
          </w:p>
        </w:tc>
        <w:tc>
          <w:tcPr>
            <w:tcW w:w="3798" w:type="dxa"/>
            <w:vAlign w:val="center"/>
          </w:tcPr>
          <w:p>
            <w:pPr>
              <w:pStyle w:val="8"/>
              <w:jc w:val="center"/>
              <w:rPr>
                <w:rFonts w:ascii="方正书宋_GBK" w:eastAsia="方正书宋_GBK"/>
              </w:rPr>
            </w:pPr>
            <w:r>
              <w:rPr>
                <w:rFonts w:ascii="方正书宋_GBK" w:eastAsia="方正书宋_GBK"/>
              </w:rPr>
              <w:t xml:space="preserve">    </w:t>
            </w:r>
            <w:r>
              <w:rPr>
                <w:rFonts w:hint="eastAsia" w:ascii="方正书宋_GBK" w:eastAsia="方正书宋_GBK"/>
              </w:rPr>
              <w:t>其中：教学科研人员因公出国（境）费</w:t>
            </w:r>
          </w:p>
        </w:tc>
        <w:tc>
          <w:tcPr>
            <w:tcW w:w="2382"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4</w:t>
            </w:r>
          </w:p>
        </w:tc>
        <w:tc>
          <w:tcPr>
            <w:tcW w:w="3798" w:type="dxa"/>
            <w:vAlign w:val="center"/>
          </w:tcPr>
          <w:p>
            <w:pPr>
              <w:pStyle w:val="8"/>
              <w:jc w:val="center"/>
              <w:rPr>
                <w:rFonts w:ascii="方正书宋_GBK" w:eastAsia="方正书宋_GBK"/>
              </w:rPr>
            </w:pPr>
            <w:r>
              <w:rPr>
                <w:rFonts w:ascii="方正书宋_GBK" w:eastAsia="方正书宋_GBK"/>
              </w:rPr>
              <w:t xml:space="preserve">          </w:t>
            </w:r>
            <w:r>
              <w:rPr>
                <w:rFonts w:hint="eastAsia" w:ascii="方正书宋_GBK" w:eastAsia="方正书宋_GBK"/>
              </w:rPr>
              <w:t>其他因公出国（境）费</w:t>
            </w:r>
          </w:p>
        </w:tc>
        <w:tc>
          <w:tcPr>
            <w:tcW w:w="2382"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5</w:t>
            </w:r>
          </w:p>
        </w:tc>
        <w:tc>
          <w:tcPr>
            <w:tcW w:w="3798" w:type="dxa"/>
            <w:vAlign w:val="center"/>
          </w:tcPr>
          <w:p>
            <w:pPr>
              <w:pStyle w:val="8"/>
              <w:jc w:val="center"/>
              <w:rPr>
                <w:rFonts w:ascii="方正书宋_GBK" w:eastAsia="方正书宋_GBK"/>
              </w:rPr>
            </w:pPr>
            <w:r>
              <w:rPr>
                <w:rFonts w:hint="eastAsia" w:ascii="方正书宋_GBK" w:eastAsia="方正书宋_GBK"/>
              </w:rPr>
              <w:t>二、公务用车购置及运维费</w:t>
            </w:r>
          </w:p>
        </w:tc>
        <w:tc>
          <w:tcPr>
            <w:tcW w:w="2382" w:type="dxa"/>
            <w:vAlign w:val="center"/>
          </w:tcPr>
          <w:p>
            <w:pPr>
              <w:pStyle w:val="8"/>
              <w:jc w:val="center"/>
              <w:rPr>
                <w:rFonts w:ascii="方正书宋_GBK" w:hAnsi="方正书宋_GBK"/>
              </w:rPr>
            </w:pPr>
            <w:r>
              <w:rPr>
                <w:rFonts w:ascii="方正书宋_GBK" w:hAnsi="方正书宋_GBK"/>
              </w:rPr>
              <w:t>9.80</w:t>
            </w:r>
          </w:p>
        </w:tc>
        <w:tc>
          <w:tcPr>
            <w:tcW w:w="2381" w:type="dxa"/>
            <w:vAlign w:val="center"/>
          </w:tcPr>
          <w:p>
            <w:pPr>
              <w:pStyle w:val="8"/>
              <w:jc w:val="center"/>
              <w:rPr>
                <w:rFonts w:ascii="方正书宋_GBK" w:hAnsi="方正书宋_GBK"/>
              </w:rPr>
            </w:pPr>
            <w:r>
              <w:rPr>
                <w:rFonts w:ascii="方正书宋_GBK" w:hAnsi="方正书宋_GBK"/>
              </w:rPr>
              <w:t>9.80</w:t>
            </w: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6</w:t>
            </w:r>
          </w:p>
        </w:tc>
        <w:tc>
          <w:tcPr>
            <w:tcW w:w="3798" w:type="dxa"/>
            <w:vAlign w:val="center"/>
          </w:tcPr>
          <w:p>
            <w:pPr>
              <w:pStyle w:val="8"/>
              <w:jc w:val="center"/>
              <w:rPr>
                <w:rFonts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2"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7</w:t>
            </w:r>
          </w:p>
        </w:tc>
        <w:tc>
          <w:tcPr>
            <w:tcW w:w="3798" w:type="dxa"/>
            <w:vAlign w:val="center"/>
          </w:tcPr>
          <w:p>
            <w:pPr>
              <w:pStyle w:val="8"/>
              <w:jc w:val="center"/>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2" w:type="dxa"/>
            <w:vAlign w:val="center"/>
          </w:tcPr>
          <w:p>
            <w:pPr>
              <w:pStyle w:val="8"/>
              <w:jc w:val="center"/>
              <w:rPr>
                <w:rFonts w:ascii="方正书宋_GBK" w:eastAsia="方正书宋_GBK"/>
              </w:rPr>
            </w:pPr>
            <w:r>
              <w:rPr>
                <w:rFonts w:ascii="方正书宋_GBK" w:hAnsi="方正书宋_GBK"/>
                <w:lang w:eastAsia="zh-CN"/>
              </w:rPr>
              <w:t>9.80</w:t>
            </w:r>
          </w:p>
        </w:tc>
        <w:tc>
          <w:tcPr>
            <w:tcW w:w="2381" w:type="dxa"/>
            <w:vAlign w:val="center"/>
          </w:tcPr>
          <w:p>
            <w:pPr>
              <w:pStyle w:val="8"/>
              <w:jc w:val="center"/>
              <w:rPr>
                <w:rFonts w:ascii="方正书宋_GBK" w:eastAsia="方正书宋_GBK"/>
              </w:rPr>
            </w:pPr>
            <w:r>
              <w:rPr>
                <w:rFonts w:ascii="方正书宋_GBK" w:hAnsi="方正书宋_GBK"/>
                <w:lang w:eastAsia="zh-CN"/>
              </w:rPr>
              <w:t>9.80</w:t>
            </w: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r>
        <w:trPr>
          <w:trHeight w:val="567" w:hRule="atLeast"/>
          <w:tblHeader/>
          <w:jc w:val="center"/>
        </w:trPr>
        <w:tc>
          <w:tcPr>
            <w:tcW w:w="850" w:type="dxa"/>
            <w:vAlign w:val="center"/>
          </w:tcPr>
          <w:p>
            <w:pPr>
              <w:pStyle w:val="14"/>
            </w:pPr>
            <w:r>
              <w:t>8</w:t>
            </w:r>
          </w:p>
        </w:tc>
        <w:tc>
          <w:tcPr>
            <w:tcW w:w="3798" w:type="dxa"/>
            <w:vAlign w:val="center"/>
          </w:tcPr>
          <w:p>
            <w:pPr>
              <w:pStyle w:val="8"/>
              <w:jc w:val="center"/>
              <w:rPr>
                <w:rFonts w:ascii="方正书宋_GBK" w:eastAsia="方正书宋_GBK"/>
              </w:rPr>
            </w:pPr>
            <w:r>
              <w:rPr>
                <w:rFonts w:hint="eastAsia" w:ascii="方正书宋_GBK" w:eastAsia="方正书宋_GBK"/>
              </w:rPr>
              <w:t>三、公务接待费</w:t>
            </w:r>
          </w:p>
        </w:tc>
        <w:tc>
          <w:tcPr>
            <w:tcW w:w="2382" w:type="dxa"/>
            <w:vAlign w:val="center"/>
          </w:tcPr>
          <w:p>
            <w:pPr>
              <w:pStyle w:val="8"/>
              <w:jc w:val="center"/>
              <w:rPr>
                <w:rFonts w:ascii="方正书宋_GBK" w:eastAsia="方正书宋_GBK"/>
              </w:rPr>
            </w:pPr>
            <w:r>
              <w:rPr>
                <w:rFonts w:ascii="方正书宋_GBK" w:hAnsi="方正书宋_GBK"/>
                <w:lang w:eastAsia="zh-CN"/>
              </w:rPr>
              <w:t>6.50</w:t>
            </w:r>
          </w:p>
        </w:tc>
        <w:tc>
          <w:tcPr>
            <w:tcW w:w="2381" w:type="dxa"/>
            <w:vAlign w:val="center"/>
          </w:tcPr>
          <w:p>
            <w:pPr>
              <w:pStyle w:val="8"/>
              <w:jc w:val="center"/>
              <w:rPr>
                <w:rFonts w:ascii="方正书宋_GBK" w:eastAsia="方正书宋_GBK"/>
              </w:rPr>
            </w:pPr>
            <w:r>
              <w:rPr>
                <w:rFonts w:ascii="方正书宋_GBK" w:hAnsi="方正书宋_GBK"/>
                <w:lang w:eastAsia="zh-CN"/>
              </w:rPr>
              <w:t>6.50</w:t>
            </w:r>
          </w:p>
        </w:tc>
        <w:tc>
          <w:tcPr>
            <w:tcW w:w="2381" w:type="dxa"/>
            <w:vAlign w:val="center"/>
          </w:tcPr>
          <w:p>
            <w:pPr>
              <w:pStyle w:val="8"/>
              <w:jc w:val="center"/>
              <w:rPr>
                <w:rFonts w:ascii="方正书宋_GBK" w:hAnsi="方正书宋_GBK"/>
              </w:rPr>
            </w:pPr>
          </w:p>
        </w:tc>
        <w:tc>
          <w:tcPr>
            <w:tcW w:w="2381" w:type="dxa"/>
            <w:vAlign w:val="center"/>
          </w:tcPr>
          <w:p>
            <w:pPr>
              <w:pStyle w:val="8"/>
              <w:jc w:val="center"/>
              <w:rPr>
                <w:rFonts w:ascii="方正书宋_GBK" w:hAnsi="方正书宋_GBK"/>
              </w:rPr>
            </w:pPr>
          </w:p>
        </w:tc>
      </w:tr>
    </w:tbl>
    <w:p>
      <w:pPr>
        <w:jc w:val="center"/>
        <w:rPr>
          <w:rFonts w:ascii="方正小标宋_GBK" w:eastAsia="方正小标宋_GBK" w:cs="方正小标宋_GBK"/>
          <w:color w:val="000000"/>
          <w:sz w:val="44"/>
          <w:lang w:eastAsia="zh-CN"/>
        </w:rPr>
      </w:pPr>
    </w:p>
    <w:p>
      <w:pPr>
        <w:jc w:val="center"/>
        <w:rPr>
          <w:rFonts w:ascii="方正小标宋_GBK" w:eastAsia="方正小标宋_GBK" w:cs="方正小标宋_GBK"/>
          <w:color w:val="000000"/>
          <w:sz w:val="44"/>
          <w:lang w:eastAsia="zh-CN"/>
        </w:rPr>
      </w:pPr>
    </w:p>
    <w:p>
      <w:pPr>
        <w:jc w:val="center"/>
        <w:rPr>
          <w:rFonts w:ascii="方正小标宋_GBK" w:eastAsia="方正小标宋_GBK" w:cs="方正小标宋_GBK"/>
          <w:color w:val="000000"/>
          <w:sz w:val="44"/>
          <w:lang w:eastAsia="zh-CN"/>
        </w:rPr>
      </w:pPr>
    </w:p>
    <w:p>
      <w:pPr>
        <w:jc w:val="center"/>
      </w:pPr>
      <w:r>
        <w:rPr>
          <w:rFonts w:hint="eastAsia" w:ascii="方正小标宋_GBK" w:eastAsia="方正小标宋_GBK" w:cs="方正小标宋_GBK"/>
          <w:color w:val="000000"/>
          <w:sz w:val="44"/>
        </w:rPr>
        <w:t>高阳县</w:t>
      </w:r>
      <w:r>
        <w:rPr>
          <w:rFonts w:hint="eastAsia" w:ascii="方正小标宋_GBK" w:eastAsia="方正小标宋_GBK" w:cs="方正小标宋_GBK"/>
          <w:color w:val="000000"/>
          <w:sz w:val="44"/>
          <w:lang w:eastAsia="zh-CN"/>
        </w:rPr>
        <w:t>人大常委会办公室（机关）</w:t>
      </w:r>
      <w:r>
        <w:rPr>
          <w:rFonts w:ascii="方正小标宋_GBK" w:eastAsia="方正小标宋_GBK" w:cs="方正小标宋_GBK"/>
          <w:color w:val="000000"/>
          <w:sz w:val="44"/>
        </w:rPr>
        <w:t>2022</w:t>
      </w:r>
      <w:r>
        <w:rPr>
          <w:rFonts w:hint="eastAsia" w:ascii="方正小标宋_GBK" w:eastAsia="方正小标宋_GBK" w:cs="方正小标宋_GBK"/>
          <w:color w:val="000000"/>
          <w:sz w:val="44"/>
        </w:rPr>
        <w:t>年</w:t>
      </w:r>
      <w:r>
        <w:rPr>
          <w:rFonts w:ascii="方正小标宋_GBK" w:eastAsia="方正小标宋_GBK" w:cs="方正小标宋_GBK"/>
          <w:color w:val="000000"/>
          <w:sz w:val="44"/>
        </w:rPr>
        <w:t>单位</w:t>
      </w:r>
      <w:r>
        <w:rPr>
          <w:rFonts w:hint="eastAsia" w:ascii="方正小标宋_GBK" w:eastAsia="方正小标宋_GBK" w:cs="方正小标宋_GBK"/>
          <w:color w:val="000000"/>
          <w:sz w:val="44"/>
        </w:rPr>
        <w:t>预算信息公开情况说明</w:t>
      </w:r>
    </w:p>
    <w:p>
      <w:pPr>
        <w:spacing w:line="500" w:lineRule="exact"/>
        <w:ind w:firstLine="560"/>
        <w:rPr>
          <w:rFonts w:eastAsia="方正仿宋_GBK"/>
          <w:color w:val="000000"/>
          <w:sz w:val="28"/>
          <w:lang w:eastAsia="zh-CN"/>
        </w:rPr>
      </w:pPr>
    </w:p>
    <w:p>
      <w:pPr>
        <w:spacing w:line="500" w:lineRule="exact"/>
        <w:ind w:firstLine="560"/>
        <w:rPr>
          <w:rFonts w:ascii="黑体" w:eastAsia="黑体" w:cs="黑体"/>
          <w:color w:val="000000"/>
          <w:sz w:val="32"/>
          <w:lang w:eastAsia="zh-CN"/>
        </w:rPr>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、《地方预决算公开操作规程》和《关于进一步推进预算公开工作的实施意见》规定，现将高阳县</w:t>
      </w:r>
      <w:r>
        <w:rPr>
          <w:rFonts w:hint="eastAsia" w:eastAsia="方正仿宋_GBK"/>
          <w:color w:val="000000"/>
          <w:sz w:val="28"/>
          <w:lang w:eastAsia="zh-CN"/>
        </w:rPr>
        <w:t>人大常委会办公室</w:t>
      </w:r>
      <w:r>
        <w:rPr>
          <w:rFonts w:hint="eastAsia" w:eastAsia="方正仿宋_GBK"/>
          <w:color w:val="000000"/>
          <w:sz w:val="28"/>
          <w:lang w:val="en-US" w:eastAsia="zh-CN"/>
        </w:rPr>
        <w:t>(机关）</w:t>
      </w:r>
      <w:r>
        <w:rPr>
          <w:rFonts w:eastAsia="方正仿宋_GBK"/>
          <w:color w:val="000000"/>
          <w:sz w:val="28"/>
        </w:rPr>
        <w:t>2022</w:t>
      </w:r>
      <w:r>
        <w:rPr>
          <w:rFonts w:hint="eastAsia" w:eastAsia="方正仿宋_GBK"/>
          <w:color w:val="000000"/>
          <w:sz w:val="28"/>
        </w:rPr>
        <w:t>年</w:t>
      </w:r>
      <w:r>
        <w:rPr>
          <w:rFonts w:eastAsia="方正仿宋_GBK"/>
          <w:color w:val="000000"/>
          <w:sz w:val="28"/>
        </w:rPr>
        <w:t>单位</w:t>
      </w:r>
      <w:r>
        <w:rPr>
          <w:rFonts w:hint="eastAsia" w:eastAsia="方正仿宋_GBK"/>
          <w:color w:val="000000"/>
          <w:sz w:val="28"/>
        </w:rPr>
        <w:t>预算公开如下：</w:t>
      </w:r>
      <w:bookmarkStart w:id="9" w:name="_Toc_3_3_0000000010"/>
    </w:p>
    <w:p>
      <w:pPr>
        <w:spacing w:before="10" w:after="10" w:line="360" w:lineRule="auto"/>
        <w:ind w:firstLine="640"/>
        <w:outlineLvl w:val="2"/>
      </w:pPr>
      <w:r>
        <w:rPr>
          <w:rFonts w:hint="eastAsia" w:ascii="黑体" w:eastAsia="黑体" w:cs="黑体"/>
          <w:color w:val="000000"/>
          <w:sz w:val="32"/>
        </w:rPr>
        <w:t>一、</w:t>
      </w:r>
      <w:r>
        <w:rPr>
          <w:rFonts w:ascii="黑体" w:eastAsia="黑体" w:cs="黑体"/>
          <w:color w:val="000000"/>
          <w:sz w:val="32"/>
        </w:rPr>
        <w:t>单位</w:t>
      </w:r>
      <w:r>
        <w:rPr>
          <w:rFonts w:hint="eastAsia" w:ascii="黑体" w:eastAsia="黑体" w:cs="黑体"/>
          <w:color w:val="000000"/>
          <w:sz w:val="32"/>
        </w:rPr>
        <w:t>职责及机构设置情况</w:t>
      </w:r>
      <w:bookmarkEnd w:id="9"/>
    </w:p>
    <w:p>
      <w:pPr>
        <w:ind w:firstLine="640"/>
      </w:pPr>
      <w:r>
        <w:rPr>
          <w:rFonts w:ascii="方正楷体_GBK" w:eastAsia="方正楷体_GBK" w:cs="方正楷体_GBK"/>
          <w:b/>
          <w:color w:val="000000"/>
          <w:sz w:val="32"/>
        </w:rPr>
        <w:t>单位</w:t>
      </w:r>
      <w:r>
        <w:rPr>
          <w:rFonts w:hint="eastAsia" w:ascii="方正楷体_GBK" w:eastAsia="方正楷体_GBK" w:cs="方正楷体_GBK"/>
          <w:b/>
          <w:color w:val="000000"/>
          <w:sz w:val="32"/>
        </w:rPr>
        <w:t>职责：</w:t>
      </w:r>
    </w:p>
    <w:p>
      <w:pPr>
        <w:pStyle w:val="21"/>
      </w:pPr>
      <w:r>
        <w:rPr>
          <w:rFonts w:hint="eastAsia"/>
        </w:rPr>
        <w:t>（一）根据有关法律法规和县人大常委会年度工作要点，制定本</w:t>
      </w:r>
      <w:r>
        <w:t>单位</w:t>
      </w:r>
      <w:r>
        <w:rPr>
          <w:rFonts w:hint="eastAsia"/>
        </w:rPr>
        <w:t>的年度工作计划并组织实施，做好年度工作总结。</w:t>
      </w:r>
    </w:p>
    <w:p>
      <w:pPr>
        <w:pStyle w:val="21"/>
      </w:pPr>
      <w:r>
        <w:rPr>
          <w:rFonts w:hint="eastAsia"/>
        </w:rPr>
        <w:t>（二）按照县人大常委会的部署和主任会议安排，组织视察、调研和执法检查。</w:t>
      </w:r>
    </w:p>
    <w:p>
      <w:pPr>
        <w:pStyle w:val="21"/>
      </w:pPr>
      <w:r>
        <w:rPr>
          <w:rFonts w:hint="eastAsia"/>
        </w:rPr>
        <w:t>（三）对县人大常委会组成人员和县人民政府、县人民法院、县人民检察院提请县人大常委会会议审议的议案或报告进行调查研究。</w:t>
      </w:r>
    </w:p>
    <w:p>
      <w:pPr>
        <w:pStyle w:val="21"/>
      </w:pPr>
      <w:r>
        <w:rPr>
          <w:rFonts w:hint="eastAsia"/>
        </w:rPr>
        <w:t>（四）对相关工作情况和相关法律法规在本行政区域内的贯彻实施情况进行调查研究。</w:t>
      </w:r>
    </w:p>
    <w:p>
      <w:pPr>
        <w:pStyle w:val="21"/>
      </w:pPr>
      <w:r>
        <w:rPr>
          <w:rFonts w:hint="eastAsia"/>
        </w:rPr>
        <w:t>（五）负责对相关规范性文件进行研究审查，并提出意见。</w:t>
      </w:r>
    </w:p>
    <w:p>
      <w:pPr>
        <w:pStyle w:val="21"/>
      </w:pPr>
      <w:r>
        <w:rPr>
          <w:rFonts w:hint="eastAsia"/>
        </w:rPr>
        <w:t>（六）加强与对口联系单位的工作联系，沟通思想，了解情况，督促其认真落实县人大及其常委会的决议、决定，办理好意见和建议。</w:t>
      </w:r>
    </w:p>
    <w:p>
      <w:pPr>
        <w:pStyle w:val="21"/>
      </w:pPr>
      <w:r>
        <w:rPr>
          <w:rFonts w:hint="eastAsia"/>
        </w:rPr>
        <w:t>（七）加强同乡（镇）人大的工作联系，按照职责范围，对乡（镇）人大工作进行指导。</w:t>
      </w:r>
    </w:p>
    <w:p>
      <w:pPr>
        <w:pStyle w:val="21"/>
        <w:rPr>
          <w:rFonts w:hint="eastAsia" w:eastAsia="方正仿宋_GBK"/>
          <w:lang w:val="en-US" w:eastAsia="zh-CN"/>
        </w:rPr>
      </w:pPr>
      <w:r>
        <w:rPr>
          <w:rFonts w:hint="eastAsia"/>
        </w:rPr>
        <w:t>（八）办理好县人大代表提出的职权范围内的议案、建议（批评和意见）。</w:t>
      </w:r>
    </w:p>
    <w:p>
      <w:pPr>
        <w:pStyle w:val="21"/>
      </w:pPr>
      <w:r>
        <w:rPr>
          <w:rFonts w:hint="eastAsia"/>
        </w:rPr>
        <w:t>（九）广泛联系县人大代表和人民群众，及时反映人大代表与人民群众的意见和要求。</w:t>
      </w:r>
    </w:p>
    <w:p>
      <w:pPr>
        <w:pStyle w:val="21"/>
      </w:pPr>
      <w:r>
        <w:rPr>
          <w:rFonts w:hint="eastAsia"/>
        </w:rPr>
        <w:t>（十）办理县人大常委会会议、主任会议、分管副主任和上级人大常委会对口部门交办的其他工作事项。</w:t>
      </w:r>
    </w:p>
    <w:p>
      <w:pPr>
        <w:pStyle w:val="21"/>
      </w:pPr>
    </w:p>
    <w:p>
      <w:pPr>
        <w:ind w:firstLine="640"/>
      </w:pPr>
      <w:r>
        <w:rPr>
          <w:rFonts w:hint="eastAsia"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w:t>
      </w:r>
      <w:r>
        <w:rPr>
          <w:rFonts w:hint="eastAsia" w:ascii="方正小标宋_GBK" w:eastAsia="方正小标宋_GBK" w:cs="方正小标宋_GBK"/>
          <w:color w:val="000000"/>
          <w:sz w:val="32"/>
        </w:rPr>
        <w:t>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rPr>
          <w:trHeight w:val="369" w:hRule="atLeast"/>
          <w:jc w:val="center"/>
        </w:trPr>
        <w:tc>
          <w:tcPr>
            <w:tcW w:w="5669" w:type="dxa"/>
            <w:vAlign w:val="center"/>
          </w:tcPr>
          <w:p>
            <w:pPr>
              <w:pStyle w:val="16"/>
            </w:pPr>
            <w:r>
              <w:rPr>
                <w:rFonts w:hint="eastAsia"/>
              </w:rPr>
              <w:t>高阳县</w:t>
            </w:r>
            <w:r>
              <w:rPr>
                <w:rFonts w:hint="eastAsia"/>
                <w:lang w:eastAsia="zh-CN"/>
              </w:rPr>
              <w:t>人大常委会办公室</w:t>
            </w:r>
            <w:r>
              <w:rPr>
                <w:rFonts w:hint="eastAsia"/>
              </w:rPr>
              <w:t>（机关）</w:t>
            </w:r>
          </w:p>
        </w:tc>
        <w:tc>
          <w:tcPr>
            <w:tcW w:w="1843" w:type="dxa"/>
            <w:vAlign w:val="center"/>
          </w:tcPr>
          <w:p>
            <w:pPr>
              <w:pStyle w:val="17"/>
            </w:pPr>
            <w:r>
              <w:rPr>
                <w:rFonts w:hint="eastAsia"/>
              </w:rPr>
              <w:t>行政</w:t>
            </w:r>
          </w:p>
        </w:tc>
        <w:tc>
          <w:tcPr>
            <w:tcW w:w="2126" w:type="dxa"/>
            <w:vAlign w:val="center"/>
          </w:tcPr>
          <w:p>
            <w:pPr>
              <w:pStyle w:val="17"/>
            </w:pPr>
            <w:r>
              <w:rPr>
                <w:rFonts w:hint="eastAsia"/>
              </w:rPr>
              <w:t>正处（县）级</w:t>
            </w:r>
          </w:p>
        </w:tc>
        <w:tc>
          <w:tcPr>
            <w:tcW w:w="3827" w:type="dxa"/>
            <w:vAlign w:val="center"/>
          </w:tcPr>
          <w:p>
            <w:pPr>
              <w:pStyle w:val="17"/>
            </w:pPr>
            <w:r>
              <w:rPr>
                <w:rFonts w:hint="eastAsia"/>
              </w:rPr>
              <w:t>财政拨款</w:t>
            </w:r>
          </w:p>
        </w:tc>
      </w:tr>
    </w:tbl>
    <w:p>
      <w:pPr>
        <w:spacing w:before="10" w:after="10" w:line="360" w:lineRule="auto"/>
        <w:ind w:firstLine="640"/>
        <w:outlineLvl w:val="2"/>
        <w:rPr>
          <w:rFonts w:ascii="黑体" w:eastAsia="黑体" w:cs="黑体"/>
          <w:color w:val="000000"/>
          <w:sz w:val="32"/>
          <w:lang w:eastAsia="zh-CN"/>
        </w:rPr>
      </w:pPr>
      <w:bookmarkStart w:id="10" w:name="_Toc_3_3_0000000011"/>
    </w:p>
    <w:p>
      <w:pPr>
        <w:spacing w:before="10" w:after="10" w:line="360" w:lineRule="auto"/>
        <w:ind w:firstLine="640"/>
        <w:outlineLvl w:val="2"/>
      </w:pPr>
      <w:r>
        <w:rPr>
          <w:rFonts w:hint="eastAsia" w:ascii="黑体" w:eastAsia="黑体" w:cs="黑体"/>
          <w:color w:val="000000"/>
          <w:sz w:val="32"/>
        </w:rPr>
        <w:t>二、</w:t>
      </w:r>
      <w:r>
        <w:rPr>
          <w:rFonts w:ascii="黑体" w:eastAsia="黑体" w:cs="黑体"/>
          <w:color w:val="000000"/>
          <w:sz w:val="32"/>
        </w:rPr>
        <w:t>单位</w:t>
      </w:r>
      <w:r>
        <w:rPr>
          <w:rFonts w:hint="eastAsia" w:ascii="黑体" w:eastAsia="黑体" w:cs="黑体"/>
          <w:color w:val="000000"/>
          <w:sz w:val="32"/>
        </w:rPr>
        <w:t>预算安排的总体情况</w:t>
      </w:r>
      <w:bookmarkEnd w:id="10"/>
    </w:p>
    <w:p>
      <w:pPr>
        <w:spacing w:line="500" w:lineRule="exact"/>
        <w:ind w:firstLine="560"/>
        <w:rPr>
          <w:rFonts w:eastAsia="方正仿宋_GBK"/>
          <w:color w:val="000000"/>
          <w:sz w:val="28"/>
          <w:lang w:eastAsia="zh-CN"/>
        </w:rPr>
      </w:pPr>
      <w:r>
        <w:rPr>
          <w:rFonts w:hint="eastAsia" w:eastAsia="方正仿宋_GBK"/>
          <w:color w:val="000000"/>
          <w:sz w:val="28"/>
        </w:rPr>
        <w:t>按照预算管理有关规定，目前我</w:t>
      </w:r>
      <w:r>
        <w:rPr>
          <w:rFonts w:eastAsia="方正仿宋_GBK"/>
          <w:color w:val="000000"/>
          <w:sz w:val="28"/>
        </w:rPr>
        <w:t>县单位</w:t>
      </w:r>
      <w:r>
        <w:rPr>
          <w:rFonts w:hint="eastAsia" w:eastAsia="方正仿宋_GBK"/>
          <w:color w:val="000000"/>
          <w:sz w:val="28"/>
        </w:rPr>
        <w:t>预算的编制实行综合预算管理，即全部收入和支出都反映在预算中。</w:t>
      </w:r>
    </w:p>
    <w:p>
      <w:pPr>
        <w:spacing w:line="500" w:lineRule="atLeast"/>
        <w:ind w:firstLine="560"/>
        <w:jc w:val="both"/>
        <w:rPr>
          <w:rFonts w:ascii="Calibri" w:hAnsi="Calibri" w:cs="宋体"/>
          <w:color w:val="000000"/>
          <w:sz w:val="28"/>
          <w:szCs w:val="28"/>
          <w:lang w:eastAsia="zh-CN"/>
        </w:rPr>
      </w:pPr>
      <w:r>
        <w:rPr>
          <w:rFonts w:hint="eastAsia" w:ascii="Calibri" w:hAnsi="Calibri" w:cs="宋体"/>
          <w:color w:val="000000"/>
          <w:sz w:val="28"/>
          <w:szCs w:val="28"/>
          <w:lang w:eastAsia="zh-CN"/>
        </w:rPr>
        <w:t>（一）</w:t>
      </w:r>
      <w:r>
        <w:rPr>
          <w:rFonts w:hint="eastAsia" w:ascii="宋体" w:cs="宋体"/>
          <w:color w:val="000000"/>
          <w:sz w:val="28"/>
          <w:szCs w:val="28"/>
          <w:lang w:eastAsia="zh-CN"/>
        </w:rPr>
        <w:t>收入说明</w:t>
      </w:r>
    </w:p>
    <w:p>
      <w:pPr>
        <w:spacing w:line="500" w:lineRule="atLeast"/>
        <w:ind w:firstLine="560"/>
        <w:jc w:val="both"/>
        <w:rPr>
          <w:rFonts w:ascii="宋体" w:cs="宋体"/>
          <w:color w:val="000000"/>
          <w:sz w:val="28"/>
          <w:szCs w:val="28"/>
          <w:lang w:eastAsia="zh-CN"/>
        </w:rPr>
      </w:pPr>
      <w:r>
        <w:rPr>
          <w:rFonts w:hint="eastAsia" w:ascii="宋体" w:cs="宋体"/>
          <w:color w:val="000000"/>
          <w:sz w:val="28"/>
          <w:szCs w:val="28"/>
          <w:lang w:eastAsia="zh-CN"/>
        </w:rPr>
        <w:t>反映本</w:t>
      </w:r>
      <w:r>
        <w:rPr>
          <w:rFonts w:ascii="宋体" w:cs="宋体"/>
          <w:color w:val="000000"/>
          <w:sz w:val="28"/>
          <w:szCs w:val="28"/>
          <w:lang w:eastAsia="zh-CN"/>
        </w:rPr>
        <w:t>单位</w:t>
      </w:r>
      <w:r>
        <w:rPr>
          <w:rFonts w:hint="eastAsia" w:ascii="宋体" w:cs="宋体"/>
          <w:color w:val="000000"/>
          <w:sz w:val="28"/>
          <w:szCs w:val="28"/>
          <w:lang w:eastAsia="zh-CN"/>
        </w:rPr>
        <w:t>当年全部收入。</w:t>
      </w:r>
      <w:r>
        <w:rPr>
          <w:rFonts w:ascii="宋体" w:cs="宋体"/>
          <w:color w:val="000000"/>
          <w:sz w:val="28"/>
          <w:szCs w:val="28"/>
          <w:lang w:eastAsia="zh-CN"/>
        </w:rPr>
        <w:t>2022</w:t>
      </w:r>
      <w:r>
        <w:rPr>
          <w:rFonts w:hint="eastAsia" w:ascii="宋体" w:cs="宋体"/>
          <w:color w:val="000000"/>
          <w:sz w:val="28"/>
          <w:szCs w:val="28"/>
          <w:lang w:eastAsia="zh-CN"/>
        </w:rPr>
        <w:t>年预算收入</w:t>
      </w:r>
      <w:r>
        <w:rPr>
          <w:rFonts w:ascii="宋体" w:cs="宋体"/>
          <w:color w:val="000000"/>
          <w:sz w:val="28"/>
          <w:szCs w:val="28"/>
          <w:lang w:eastAsia="zh-CN"/>
        </w:rPr>
        <w:t>378.18</w:t>
      </w:r>
      <w:r>
        <w:rPr>
          <w:rFonts w:hint="eastAsia" w:ascii="宋体" w:cs="宋体"/>
          <w:color w:val="000000"/>
          <w:sz w:val="28"/>
          <w:szCs w:val="28"/>
          <w:lang w:eastAsia="zh-CN"/>
        </w:rPr>
        <w:t>万元。其中：一般公共预算收入</w:t>
      </w:r>
      <w:r>
        <w:rPr>
          <w:rFonts w:ascii="宋体" w:cs="宋体"/>
          <w:color w:val="000000"/>
          <w:sz w:val="28"/>
          <w:szCs w:val="28"/>
          <w:lang w:eastAsia="zh-CN"/>
        </w:rPr>
        <w:t>378.18</w:t>
      </w:r>
      <w:r>
        <w:rPr>
          <w:rFonts w:hint="eastAsia" w:ascii="宋体" w:cs="宋体"/>
          <w:color w:val="000000"/>
          <w:sz w:val="28"/>
          <w:szCs w:val="28"/>
          <w:lang w:eastAsia="zh-CN"/>
        </w:rPr>
        <w:t>万元，基金预算收入</w:t>
      </w:r>
      <w:r>
        <w:rPr>
          <w:rFonts w:ascii="宋体" w:cs="宋体"/>
          <w:color w:val="000000"/>
          <w:sz w:val="28"/>
          <w:szCs w:val="28"/>
          <w:lang w:eastAsia="zh-CN"/>
        </w:rPr>
        <w:t>0</w:t>
      </w:r>
      <w:r>
        <w:rPr>
          <w:rFonts w:hint="eastAsia" w:ascii="宋体" w:cs="宋体"/>
          <w:color w:val="000000"/>
          <w:sz w:val="28"/>
          <w:szCs w:val="28"/>
          <w:lang w:eastAsia="zh-CN"/>
        </w:rPr>
        <w:t>万元，国有资本经营预算收入</w:t>
      </w:r>
      <w:r>
        <w:rPr>
          <w:rFonts w:ascii="宋体" w:cs="宋体"/>
          <w:color w:val="000000"/>
          <w:sz w:val="28"/>
          <w:szCs w:val="28"/>
          <w:lang w:eastAsia="zh-CN"/>
        </w:rPr>
        <w:t>0</w:t>
      </w:r>
      <w:r>
        <w:rPr>
          <w:rFonts w:hint="eastAsia" w:ascii="宋体" w:cs="宋体"/>
          <w:color w:val="000000"/>
          <w:sz w:val="28"/>
          <w:szCs w:val="28"/>
          <w:lang w:eastAsia="zh-CN"/>
        </w:rPr>
        <w:t>万元，财政专户核拨收入</w:t>
      </w:r>
      <w:r>
        <w:rPr>
          <w:rFonts w:ascii="宋体" w:cs="宋体"/>
          <w:color w:val="000000"/>
          <w:sz w:val="28"/>
          <w:szCs w:val="28"/>
          <w:lang w:eastAsia="zh-CN"/>
        </w:rPr>
        <w:t>0</w:t>
      </w:r>
      <w:r>
        <w:rPr>
          <w:rFonts w:hint="eastAsia" w:ascii="宋体" w:cs="宋体"/>
          <w:color w:val="000000"/>
          <w:sz w:val="28"/>
          <w:szCs w:val="28"/>
          <w:lang w:eastAsia="zh-CN"/>
        </w:rPr>
        <w:t>万元，单位资金收入</w:t>
      </w:r>
      <w:r>
        <w:rPr>
          <w:rFonts w:ascii="宋体" w:cs="宋体"/>
          <w:color w:val="000000"/>
          <w:sz w:val="28"/>
          <w:szCs w:val="28"/>
          <w:lang w:eastAsia="zh-CN"/>
        </w:rPr>
        <w:t>0</w:t>
      </w:r>
      <w:r>
        <w:rPr>
          <w:rFonts w:hint="eastAsia" w:ascii="宋体" w:cs="宋体"/>
          <w:color w:val="000000"/>
          <w:sz w:val="28"/>
          <w:szCs w:val="28"/>
          <w:lang w:eastAsia="zh-CN"/>
        </w:rPr>
        <w:t>万元，上年结转结余</w:t>
      </w:r>
      <w:r>
        <w:rPr>
          <w:rFonts w:ascii="宋体" w:cs="宋体"/>
          <w:color w:val="000000"/>
          <w:sz w:val="28"/>
          <w:szCs w:val="28"/>
          <w:lang w:eastAsia="zh-CN"/>
        </w:rPr>
        <w:t>0</w:t>
      </w:r>
      <w:r>
        <w:rPr>
          <w:rFonts w:hint="eastAsia" w:ascii="宋体" w:cs="宋体"/>
          <w:color w:val="000000"/>
          <w:sz w:val="28"/>
          <w:szCs w:val="28"/>
          <w:lang w:eastAsia="zh-CN"/>
        </w:rPr>
        <w:t>万元。</w:t>
      </w:r>
    </w:p>
    <w:p>
      <w:pPr>
        <w:spacing w:line="500" w:lineRule="atLeast"/>
        <w:ind w:firstLine="560"/>
        <w:jc w:val="both"/>
        <w:rPr>
          <w:rFonts w:ascii="Calibri" w:hAnsi="Calibri" w:cs="宋体"/>
          <w:color w:val="000000"/>
          <w:sz w:val="28"/>
          <w:szCs w:val="28"/>
          <w:lang w:eastAsia="zh-CN"/>
        </w:rPr>
      </w:pPr>
      <w:r>
        <w:rPr>
          <w:rFonts w:hint="eastAsia" w:ascii="Calibri" w:hAnsi="Calibri" w:cs="宋体"/>
          <w:color w:val="000000"/>
          <w:sz w:val="28"/>
          <w:szCs w:val="28"/>
          <w:lang w:eastAsia="zh-CN"/>
        </w:rPr>
        <w:t>（二）</w:t>
      </w:r>
      <w:r>
        <w:rPr>
          <w:rFonts w:hint="eastAsia" w:ascii="宋体" w:cs="宋体"/>
          <w:color w:val="000000"/>
          <w:sz w:val="28"/>
          <w:szCs w:val="28"/>
          <w:lang w:eastAsia="zh-CN"/>
        </w:rPr>
        <w:t>支出说明</w:t>
      </w:r>
    </w:p>
    <w:p>
      <w:pPr>
        <w:spacing w:line="500" w:lineRule="atLeast"/>
        <w:ind w:firstLine="560"/>
        <w:jc w:val="both"/>
        <w:rPr>
          <w:rFonts w:ascii="宋体" w:cs="宋体"/>
          <w:color w:val="000000"/>
          <w:sz w:val="28"/>
          <w:szCs w:val="28"/>
          <w:lang w:eastAsia="zh-CN"/>
        </w:rPr>
      </w:pPr>
      <w:r>
        <w:rPr>
          <w:rFonts w:hint="eastAsia" w:ascii="宋体" w:cs="宋体"/>
          <w:color w:val="000000"/>
          <w:sz w:val="28"/>
          <w:szCs w:val="28"/>
          <w:lang w:eastAsia="zh-CN"/>
        </w:rPr>
        <w:t>收支预算总表支出栏、基本支出表、项目支出表按经济分类和支出功能分类科目编制，反映高阳县人大常委会办公室年度</w:t>
      </w:r>
      <w:r>
        <w:rPr>
          <w:rFonts w:ascii="宋体" w:cs="宋体"/>
          <w:color w:val="000000"/>
          <w:sz w:val="28"/>
          <w:szCs w:val="28"/>
          <w:lang w:eastAsia="zh-CN"/>
        </w:rPr>
        <w:t>单位</w:t>
      </w:r>
      <w:r>
        <w:rPr>
          <w:rFonts w:hint="eastAsia" w:ascii="宋体" w:cs="宋体"/>
          <w:color w:val="000000"/>
          <w:sz w:val="28"/>
          <w:szCs w:val="28"/>
          <w:lang w:eastAsia="zh-CN"/>
        </w:rPr>
        <w:t>预算中支出预算的总体情况。</w:t>
      </w:r>
      <w:r>
        <w:rPr>
          <w:rFonts w:ascii="宋体" w:cs="宋体"/>
          <w:color w:val="000000"/>
          <w:sz w:val="28"/>
          <w:szCs w:val="28"/>
          <w:lang w:eastAsia="zh-CN"/>
        </w:rPr>
        <w:t>2022</w:t>
      </w:r>
      <w:r>
        <w:rPr>
          <w:rFonts w:hint="eastAsia" w:ascii="宋体" w:cs="宋体"/>
          <w:color w:val="000000"/>
          <w:sz w:val="28"/>
          <w:szCs w:val="28"/>
          <w:lang w:eastAsia="zh-CN"/>
        </w:rPr>
        <w:t>年支出预算</w:t>
      </w:r>
      <w:r>
        <w:rPr>
          <w:rFonts w:ascii="宋体" w:cs="宋体"/>
          <w:color w:val="000000"/>
          <w:sz w:val="28"/>
          <w:szCs w:val="28"/>
          <w:lang w:eastAsia="zh-CN"/>
        </w:rPr>
        <w:t>378.18</w:t>
      </w:r>
      <w:r>
        <w:rPr>
          <w:rFonts w:hint="eastAsia" w:ascii="宋体" w:cs="宋体"/>
          <w:color w:val="000000"/>
          <w:sz w:val="28"/>
          <w:szCs w:val="28"/>
          <w:lang w:eastAsia="zh-CN"/>
        </w:rPr>
        <w:t>万元。基本支出</w:t>
      </w:r>
      <w:r>
        <w:rPr>
          <w:rFonts w:ascii="Calibri" w:hAnsi="Calibri" w:cs="宋体"/>
          <w:color w:val="000000"/>
          <w:sz w:val="28"/>
          <w:szCs w:val="28"/>
          <w:lang w:eastAsia="zh-CN"/>
        </w:rPr>
        <w:t>302.18</w:t>
      </w:r>
      <w:r>
        <w:rPr>
          <w:rFonts w:hint="eastAsia" w:ascii="宋体" w:cs="宋体"/>
          <w:color w:val="000000"/>
          <w:sz w:val="28"/>
          <w:szCs w:val="28"/>
          <w:lang w:eastAsia="zh-CN"/>
        </w:rPr>
        <w:t>万元，包括人员经费</w:t>
      </w:r>
      <w:r>
        <w:rPr>
          <w:rFonts w:ascii="Calibri" w:hAnsi="Calibri" w:cs="宋体"/>
          <w:color w:val="000000"/>
          <w:sz w:val="28"/>
          <w:szCs w:val="28"/>
          <w:lang w:eastAsia="zh-CN"/>
        </w:rPr>
        <w:t>227.41</w:t>
      </w:r>
      <w:r>
        <w:rPr>
          <w:rFonts w:hint="eastAsia" w:ascii="宋体" w:cs="宋体"/>
          <w:color w:val="000000"/>
          <w:sz w:val="28"/>
          <w:szCs w:val="28"/>
          <w:lang w:eastAsia="zh-CN"/>
        </w:rPr>
        <w:t>万元和日常公用经费</w:t>
      </w:r>
      <w:r>
        <w:rPr>
          <w:rFonts w:ascii="Calibri" w:hAnsi="Calibri" w:cs="宋体"/>
          <w:color w:val="000000"/>
          <w:sz w:val="28"/>
          <w:szCs w:val="28"/>
          <w:lang w:eastAsia="zh-CN"/>
        </w:rPr>
        <w:t>74.77</w:t>
      </w:r>
      <w:r>
        <w:rPr>
          <w:rFonts w:hint="eastAsia" w:ascii="宋体" w:cs="宋体"/>
          <w:color w:val="000000"/>
          <w:sz w:val="28"/>
          <w:szCs w:val="28"/>
          <w:lang w:eastAsia="zh-CN"/>
        </w:rPr>
        <w:t>万元</w:t>
      </w:r>
      <w:r>
        <w:rPr>
          <w:rFonts w:hint="eastAsia" w:ascii="Calibri" w:hAnsi="Calibri" w:cs="宋体"/>
          <w:color w:val="000000"/>
          <w:sz w:val="28"/>
          <w:szCs w:val="28"/>
          <w:lang w:eastAsia="zh-CN"/>
        </w:rPr>
        <w:t>；</w:t>
      </w:r>
      <w:r>
        <w:rPr>
          <w:rFonts w:hint="eastAsia" w:ascii="宋体" w:cs="宋体"/>
          <w:color w:val="000000"/>
          <w:sz w:val="28"/>
          <w:szCs w:val="28"/>
          <w:lang w:eastAsia="zh-CN"/>
        </w:rPr>
        <w:t>项目支出</w:t>
      </w:r>
      <w:r>
        <w:rPr>
          <w:rFonts w:ascii="Calibri" w:hAnsi="Calibri" w:cs="宋体"/>
          <w:color w:val="000000"/>
          <w:sz w:val="28"/>
          <w:szCs w:val="28"/>
          <w:lang w:eastAsia="zh-CN"/>
        </w:rPr>
        <w:t>76</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万元。主要为高阳县人大会议</w:t>
      </w:r>
      <w:r>
        <w:rPr>
          <w:rFonts w:ascii="Calibri" w:hAnsi="Calibri" w:cs="宋体"/>
          <w:color w:val="000000"/>
          <w:sz w:val="28"/>
          <w:szCs w:val="28"/>
          <w:lang w:eastAsia="zh-CN"/>
        </w:rPr>
        <w:t>36</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万元，高阳县人大代表之家建设</w:t>
      </w:r>
      <w:r>
        <w:rPr>
          <w:rFonts w:ascii="Calibri" w:hAnsi="Calibri" w:cs="宋体"/>
          <w:color w:val="000000"/>
          <w:sz w:val="28"/>
          <w:szCs w:val="28"/>
          <w:lang w:eastAsia="zh-CN"/>
        </w:rPr>
        <w:t>30</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万元，高阳县人大监督</w:t>
      </w:r>
      <w:r>
        <w:rPr>
          <w:rFonts w:ascii="Calibri" w:hAnsi="Calibri" w:cs="宋体"/>
          <w:color w:val="000000"/>
          <w:sz w:val="28"/>
          <w:szCs w:val="28"/>
          <w:lang w:eastAsia="zh-CN"/>
        </w:rPr>
        <w:t>10</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万元等。</w:t>
      </w:r>
    </w:p>
    <w:p>
      <w:pPr>
        <w:spacing w:line="500" w:lineRule="atLeast"/>
        <w:ind w:firstLine="560"/>
        <w:jc w:val="both"/>
        <w:rPr>
          <w:rFonts w:ascii="Calibri" w:hAnsi="Calibri" w:cs="宋体"/>
          <w:color w:val="000000"/>
          <w:sz w:val="28"/>
          <w:szCs w:val="28"/>
          <w:lang w:eastAsia="zh-CN"/>
        </w:rPr>
      </w:pPr>
      <w:r>
        <w:rPr>
          <w:rFonts w:hint="eastAsia" w:ascii="Calibri" w:hAnsi="Calibri" w:cs="宋体"/>
          <w:color w:val="000000"/>
          <w:sz w:val="28"/>
          <w:szCs w:val="28"/>
          <w:lang w:eastAsia="zh-CN"/>
        </w:rPr>
        <w:t>（三）</w:t>
      </w:r>
      <w:r>
        <w:rPr>
          <w:rFonts w:hint="eastAsia" w:ascii="宋体" w:cs="宋体"/>
          <w:color w:val="000000"/>
          <w:sz w:val="28"/>
          <w:szCs w:val="28"/>
          <w:lang w:eastAsia="zh-CN"/>
        </w:rPr>
        <w:t>比上年增减情况</w:t>
      </w:r>
    </w:p>
    <w:p>
      <w:pPr>
        <w:spacing w:line="500" w:lineRule="atLeast"/>
        <w:ind w:firstLine="560"/>
        <w:jc w:val="both"/>
        <w:rPr>
          <w:rFonts w:ascii="Calibri" w:hAnsi="Calibri" w:cs="宋体"/>
          <w:color w:val="000000"/>
          <w:sz w:val="28"/>
          <w:szCs w:val="28"/>
          <w:lang w:eastAsia="zh-CN"/>
        </w:rPr>
      </w:pPr>
      <w:r>
        <w:rPr>
          <w:rFonts w:ascii="宋体" w:cs="宋体"/>
          <w:color w:val="000000"/>
          <w:sz w:val="28"/>
          <w:szCs w:val="28"/>
          <w:lang w:eastAsia="zh-CN"/>
        </w:rPr>
        <w:t>2022</w:t>
      </w:r>
      <w:r>
        <w:rPr>
          <w:rFonts w:hint="eastAsia" w:ascii="宋体" w:cs="宋体"/>
          <w:color w:val="000000"/>
          <w:sz w:val="28"/>
          <w:szCs w:val="28"/>
          <w:lang w:eastAsia="zh-CN"/>
        </w:rPr>
        <w:t>年预算收支安排</w:t>
      </w:r>
      <w:r>
        <w:rPr>
          <w:rFonts w:ascii="Calibri" w:hAnsi="Calibri" w:cs="宋体"/>
          <w:color w:val="000000"/>
          <w:sz w:val="28"/>
          <w:szCs w:val="28"/>
          <w:lang w:eastAsia="zh-CN"/>
        </w:rPr>
        <w:t>378.18</w:t>
      </w:r>
      <w:r>
        <w:rPr>
          <w:rFonts w:hint="eastAsia" w:ascii="宋体" w:cs="宋体"/>
          <w:color w:val="000000"/>
          <w:sz w:val="28"/>
          <w:szCs w:val="28"/>
          <w:lang w:eastAsia="zh-CN"/>
        </w:rPr>
        <w:t>万元，较</w:t>
      </w:r>
      <w:r>
        <w:rPr>
          <w:rFonts w:ascii="宋体" w:cs="宋体"/>
          <w:color w:val="000000"/>
          <w:sz w:val="28"/>
          <w:szCs w:val="28"/>
          <w:lang w:eastAsia="zh-CN"/>
        </w:rPr>
        <w:t>2021</w:t>
      </w:r>
      <w:r>
        <w:rPr>
          <w:rFonts w:hint="eastAsia" w:ascii="宋体" w:cs="宋体"/>
          <w:color w:val="000000"/>
          <w:sz w:val="28"/>
          <w:szCs w:val="28"/>
          <w:lang w:eastAsia="zh-CN"/>
        </w:rPr>
        <w:t>年</w:t>
      </w:r>
      <w:r>
        <w:rPr>
          <w:rFonts w:ascii="Calibri" w:hAnsi="Calibri" w:cs="宋体"/>
          <w:color w:val="000000"/>
          <w:sz w:val="28"/>
          <w:szCs w:val="28"/>
          <w:lang w:eastAsia="zh-CN"/>
        </w:rPr>
        <w:t>381.81</w:t>
      </w:r>
      <w:r>
        <w:rPr>
          <w:rFonts w:hint="eastAsia" w:ascii="宋体" w:cs="宋体"/>
          <w:color w:val="000000"/>
          <w:sz w:val="28"/>
          <w:szCs w:val="28"/>
          <w:lang w:eastAsia="zh-CN"/>
        </w:rPr>
        <w:t>万元减少</w:t>
      </w:r>
      <w:r>
        <w:rPr>
          <w:rFonts w:ascii="Calibri" w:hAnsi="Calibri" w:cs="宋体"/>
          <w:color w:val="000000"/>
          <w:sz w:val="28"/>
          <w:szCs w:val="28"/>
          <w:lang w:eastAsia="zh-CN"/>
        </w:rPr>
        <w:t>3.63</w:t>
      </w:r>
      <w:r>
        <w:rPr>
          <w:rFonts w:hint="eastAsia" w:ascii="宋体" w:cs="宋体"/>
          <w:color w:val="000000"/>
          <w:sz w:val="28"/>
          <w:szCs w:val="28"/>
          <w:lang w:eastAsia="zh-CN"/>
        </w:rPr>
        <w:t>万元。其中：基本支出</w:t>
      </w:r>
      <w:r>
        <w:rPr>
          <w:rFonts w:ascii="Calibri" w:hAnsi="Calibri" w:cs="宋体"/>
          <w:color w:val="000000"/>
          <w:sz w:val="28"/>
          <w:szCs w:val="28"/>
          <w:lang w:eastAsia="zh-CN"/>
        </w:rPr>
        <w:t>302.18</w:t>
      </w:r>
      <w:r>
        <w:rPr>
          <w:rFonts w:hint="eastAsia" w:ascii="宋体" w:cs="宋体"/>
          <w:color w:val="000000"/>
          <w:sz w:val="28"/>
          <w:szCs w:val="28"/>
          <w:lang w:eastAsia="zh-CN"/>
        </w:rPr>
        <w:t>万元较上年</w:t>
      </w:r>
      <w:r>
        <w:rPr>
          <w:rFonts w:ascii="Calibri" w:hAnsi="Calibri" w:cs="宋体"/>
          <w:color w:val="000000"/>
          <w:sz w:val="28"/>
          <w:szCs w:val="28"/>
          <w:lang w:eastAsia="zh-CN"/>
        </w:rPr>
        <w:t>304.81</w:t>
      </w:r>
      <w:r>
        <w:rPr>
          <w:rFonts w:hint="eastAsia" w:ascii="宋体" w:cs="宋体"/>
          <w:color w:val="000000"/>
          <w:sz w:val="28"/>
          <w:szCs w:val="28"/>
          <w:lang w:eastAsia="zh-CN"/>
        </w:rPr>
        <w:t>万元减少</w:t>
      </w:r>
      <w:r>
        <w:rPr>
          <w:rFonts w:ascii="Calibri" w:hAnsi="Calibri" w:cs="宋体"/>
          <w:color w:val="000000"/>
          <w:sz w:val="28"/>
          <w:szCs w:val="28"/>
          <w:lang w:eastAsia="zh-CN"/>
        </w:rPr>
        <w:t>2.63</w:t>
      </w:r>
      <w:r>
        <w:rPr>
          <w:rFonts w:hint="eastAsia" w:ascii="宋体" w:cs="宋体"/>
          <w:color w:val="000000"/>
          <w:sz w:val="28"/>
          <w:szCs w:val="28"/>
          <w:lang w:eastAsia="zh-CN"/>
        </w:rPr>
        <w:t>万元，主要原因是人员经费（工资福利）减少</w:t>
      </w:r>
      <w:r>
        <w:rPr>
          <w:rFonts w:ascii="Calibri" w:hAnsi="Calibri" w:cs="宋体"/>
          <w:color w:val="000000"/>
          <w:sz w:val="28"/>
          <w:szCs w:val="28"/>
          <w:lang w:eastAsia="zh-CN"/>
        </w:rPr>
        <w:t>9.8</w:t>
      </w:r>
      <w:r>
        <w:rPr>
          <w:rFonts w:hint="eastAsia" w:ascii="Calibri" w:hAnsi="Calibri" w:cs="宋体"/>
          <w:color w:val="000000"/>
          <w:sz w:val="28"/>
          <w:szCs w:val="28"/>
          <w:lang w:val="en-US" w:eastAsia="zh-CN"/>
        </w:rPr>
        <w:t>0</w:t>
      </w:r>
      <w:r>
        <w:rPr>
          <w:rFonts w:hint="eastAsia" w:ascii="宋体" w:cs="宋体"/>
          <w:color w:val="000000"/>
          <w:sz w:val="28"/>
          <w:szCs w:val="28"/>
          <w:lang w:eastAsia="zh-CN"/>
        </w:rPr>
        <w:t>万元，日常公用经费</w:t>
      </w:r>
      <w:r>
        <w:rPr>
          <w:rFonts w:ascii="宋体" w:cs="宋体"/>
          <w:color w:val="000000"/>
          <w:sz w:val="28"/>
          <w:szCs w:val="28"/>
          <w:lang w:eastAsia="zh-CN"/>
        </w:rPr>
        <w:t>74.77</w:t>
      </w:r>
      <w:r>
        <w:rPr>
          <w:rFonts w:hint="eastAsia" w:ascii="宋体" w:cs="宋体"/>
          <w:color w:val="000000"/>
          <w:sz w:val="28"/>
          <w:szCs w:val="28"/>
          <w:lang w:eastAsia="zh-CN"/>
        </w:rPr>
        <w:t>万元较上年</w:t>
      </w:r>
      <w:r>
        <w:rPr>
          <w:rFonts w:ascii="宋体" w:cs="宋体"/>
          <w:color w:val="000000"/>
          <w:sz w:val="28"/>
          <w:szCs w:val="28"/>
          <w:lang w:eastAsia="zh-CN"/>
        </w:rPr>
        <w:t>67.6</w:t>
      </w:r>
      <w:r>
        <w:rPr>
          <w:rFonts w:hint="eastAsia" w:ascii="宋体" w:cs="宋体"/>
          <w:color w:val="000000"/>
          <w:sz w:val="28"/>
          <w:szCs w:val="28"/>
          <w:lang w:val="en-US" w:eastAsia="zh-CN"/>
        </w:rPr>
        <w:t>0</w:t>
      </w:r>
      <w:r>
        <w:rPr>
          <w:rFonts w:hint="eastAsia" w:ascii="宋体" w:cs="宋体"/>
          <w:color w:val="000000"/>
          <w:sz w:val="28"/>
          <w:szCs w:val="28"/>
          <w:lang w:eastAsia="zh-CN"/>
        </w:rPr>
        <w:t>增加</w:t>
      </w:r>
      <w:r>
        <w:rPr>
          <w:rFonts w:ascii="Calibri" w:hAnsi="Calibri" w:cs="宋体"/>
          <w:color w:val="000000"/>
          <w:sz w:val="28"/>
          <w:szCs w:val="28"/>
          <w:lang w:eastAsia="zh-CN"/>
        </w:rPr>
        <w:t>7.17</w:t>
      </w:r>
      <w:r>
        <w:rPr>
          <w:rFonts w:hint="eastAsia" w:ascii="宋体" w:cs="宋体"/>
          <w:color w:val="000000"/>
          <w:sz w:val="28"/>
          <w:szCs w:val="28"/>
          <w:lang w:eastAsia="zh-CN"/>
        </w:rPr>
        <w:t>万元；项目支出</w:t>
      </w:r>
      <w:r>
        <w:rPr>
          <w:rFonts w:ascii="宋体" w:cs="宋体"/>
          <w:color w:val="000000"/>
          <w:sz w:val="28"/>
          <w:szCs w:val="28"/>
          <w:lang w:eastAsia="zh-CN"/>
        </w:rPr>
        <w:t>76</w:t>
      </w:r>
      <w:r>
        <w:rPr>
          <w:rFonts w:hint="eastAsia" w:ascii="宋体" w:cs="宋体"/>
          <w:color w:val="000000"/>
          <w:sz w:val="28"/>
          <w:szCs w:val="28"/>
          <w:lang w:val="en-US" w:eastAsia="zh-CN"/>
        </w:rPr>
        <w:t>.00</w:t>
      </w:r>
      <w:r>
        <w:rPr>
          <w:rFonts w:hint="eastAsia" w:ascii="宋体" w:cs="宋体"/>
          <w:color w:val="000000"/>
          <w:sz w:val="28"/>
          <w:szCs w:val="28"/>
          <w:lang w:eastAsia="zh-CN"/>
        </w:rPr>
        <w:t>万元较上年</w:t>
      </w:r>
      <w:r>
        <w:rPr>
          <w:rFonts w:ascii="宋体" w:cs="宋体"/>
          <w:color w:val="000000"/>
          <w:sz w:val="28"/>
          <w:szCs w:val="28"/>
          <w:lang w:eastAsia="zh-CN"/>
        </w:rPr>
        <w:t>77</w:t>
      </w:r>
      <w:r>
        <w:rPr>
          <w:rFonts w:hint="eastAsia" w:ascii="宋体" w:cs="宋体"/>
          <w:color w:val="000000"/>
          <w:sz w:val="28"/>
          <w:szCs w:val="28"/>
          <w:lang w:val="en-US" w:eastAsia="zh-CN"/>
        </w:rPr>
        <w:t>.00</w:t>
      </w:r>
      <w:r>
        <w:rPr>
          <w:rFonts w:hint="eastAsia" w:ascii="宋体" w:cs="宋体"/>
          <w:color w:val="000000"/>
          <w:sz w:val="28"/>
          <w:szCs w:val="28"/>
          <w:lang w:eastAsia="zh-CN"/>
        </w:rPr>
        <w:t>万元减少</w:t>
      </w:r>
      <w:r>
        <w:rPr>
          <w:rFonts w:ascii="Calibri" w:hAnsi="Calibri" w:cs="宋体"/>
          <w:color w:val="000000"/>
          <w:sz w:val="28"/>
          <w:szCs w:val="28"/>
          <w:lang w:eastAsia="zh-CN"/>
        </w:rPr>
        <w:t>1</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万元，主要原因是：高阳县人大会议经费由于会期增加</w:t>
      </w:r>
      <w:r>
        <w:rPr>
          <w:rFonts w:ascii="宋体" w:cs="宋体"/>
          <w:color w:val="000000"/>
          <w:sz w:val="28"/>
          <w:szCs w:val="28"/>
          <w:lang w:eastAsia="zh-CN"/>
        </w:rPr>
        <w:t>1</w:t>
      </w:r>
      <w:r>
        <w:rPr>
          <w:rFonts w:hint="eastAsia" w:ascii="宋体" w:cs="宋体"/>
          <w:color w:val="000000"/>
          <w:sz w:val="28"/>
          <w:szCs w:val="28"/>
          <w:lang w:eastAsia="zh-CN"/>
        </w:rPr>
        <w:t>天增加</w:t>
      </w:r>
      <w:r>
        <w:rPr>
          <w:rFonts w:ascii="宋体" w:cs="宋体"/>
          <w:color w:val="000000"/>
          <w:sz w:val="28"/>
          <w:szCs w:val="28"/>
          <w:lang w:eastAsia="zh-CN"/>
        </w:rPr>
        <w:t>10</w:t>
      </w:r>
      <w:r>
        <w:rPr>
          <w:rFonts w:hint="eastAsia" w:ascii="宋体" w:cs="宋体"/>
          <w:color w:val="000000"/>
          <w:sz w:val="28"/>
          <w:szCs w:val="28"/>
          <w:lang w:val="en-US" w:eastAsia="zh-CN"/>
        </w:rPr>
        <w:t>.00</w:t>
      </w:r>
      <w:r>
        <w:rPr>
          <w:rFonts w:hint="eastAsia" w:ascii="宋体" w:cs="宋体"/>
          <w:color w:val="000000"/>
          <w:sz w:val="28"/>
          <w:szCs w:val="28"/>
          <w:lang w:eastAsia="zh-CN"/>
        </w:rPr>
        <w:t>万元，高阳县人大代表之家建设经费由于增加代表小组建设增加</w:t>
      </w:r>
      <w:r>
        <w:rPr>
          <w:rFonts w:ascii="宋体" w:cs="宋体"/>
          <w:color w:val="000000"/>
          <w:sz w:val="28"/>
          <w:szCs w:val="28"/>
          <w:lang w:eastAsia="zh-CN"/>
        </w:rPr>
        <w:t>14</w:t>
      </w:r>
      <w:r>
        <w:rPr>
          <w:rFonts w:hint="eastAsia" w:ascii="宋体" w:cs="宋体"/>
          <w:color w:val="000000"/>
          <w:sz w:val="28"/>
          <w:szCs w:val="28"/>
          <w:lang w:val="en-US" w:eastAsia="zh-CN"/>
        </w:rPr>
        <w:t>.00</w:t>
      </w:r>
      <w:r>
        <w:rPr>
          <w:rFonts w:hint="eastAsia" w:ascii="宋体" w:cs="宋体"/>
          <w:color w:val="000000"/>
          <w:sz w:val="28"/>
          <w:szCs w:val="28"/>
          <w:lang w:eastAsia="zh-CN"/>
        </w:rPr>
        <w:t>万元，高阳县人大监督经费由于增加活动开展增加</w:t>
      </w:r>
      <w:r>
        <w:rPr>
          <w:rFonts w:ascii="Calibri" w:hAnsi="Calibri" w:cs="宋体"/>
          <w:color w:val="000000"/>
          <w:sz w:val="28"/>
          <w:szCs w:val="28"/>
          <w:lang w:eastAsia="zh-CN"/>
        </w:rPr>
        <w:t>5</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万元，减少高阳县人大志编制项目经费</w:t>
      </w:r>
      <w:r>
        <w:rPr>
          <w:rFonts w:ascii="Calibri" w:hAnsi="Calibri" w:cs="宋体"/>
          <w:color w:val="000000"/>
          <w:sz w:val="28"/>
          <w:szCs w:val="28"/>
          <w:lang w:eastAsia="zh-CN"/>
        </w:rPr>
        <w:t>30</w:t>
      </w:r>
      <w:r>
        <w:rPr>
          <w:rFonts w:hint="eastAsia" w:ascii="Calibri" w:hAnsi="Calibri" w:cs="宋体"/>
          <w:color w:val="000000"/>
          <w:sz w:val="28"/>
          <w:szCs w:val="28"/>
          <w:lang w:val="en-US" w:eastAsia="zh-CN"/>
        </w:rPr>
        <w:t>.00</w:t>
      </w:r>
      <w:r>
        <w:rPr>
          <w:rFonts w:hint="eastAsia" w:ascii="宋体" w:cs="宋体"/>
          <w:color w:val="000000"/>
          <w:sz w:val="28"/>
          <w:szCs w:val="28"/>
          <w:lang w:eastAsia="zh-CN"/>
        </w:rPr>
        <w:t>万元。</w:t>
      </w:r>
    </w:p>
    <w:p>
      <w:pPr>
        <w:rPr>
          <w:rFonts w:ascii="Calibri" w:hAnsi="Calibri" w:cs="宋体"/>
          <w:color w:val="000000"/>
          <w:sz w:val="22"/>
          <w:szCs w:val="22"/>
          <w:lang w:eastAsia="zh-CN"/>
        </w:rPr>
      </w:pPr>
      <w:r>
        <w:rPr>
          <w:lang w:eastAsia="zh-CN"/>
        </w:rPr>
        <w:t> </w:t>
      </w:r>
    </w:p>
    <w:p>
      <w:pPr>
        <w:spacing w:before="10" w:after="10" w:line="360" w:lineRule="auto"/>
        <w:ind w:firstLine="640"/>
        <w:outlineLvl w:val="2"/>
        <w:rPr>
          <w:rFonts w:ascii="黑体" w:eastAsia="黑体" w:cs="黑体"/>
          <w:color w:val="000000"/>
          <w:sz w:val="32"/>
          <w:lang w:eastAsia="zh-CN"/>
        </w:rPr>
      </w:pPr>
      <w:bookmarkStart w:id="11" w:name="_Toc_3_3_0000000012"/>
      <w:r>
        <w:rPr>
          <w:rFonts w:hint="eastAsia" w:ascii="黑体" w:eastAsia="黑体" w:cs="黑体"/>
          <w:color w:val="000000"/>
          <w:sz w:val="32"/>
        </w:rPr>
        <w:t>三、机关运行经费安排情况</w:t>
      </w:r>
      <w:bookmarkEnd w:id="11"/>
    </w:p>
    <w:p>
      <w:pPr>
        <w:pStyle w:val="23"/>
      </w:pPr>
      <w:r>
        <w:rPr>
          <w:color w:val="000000"/>
          <w:szCs w:val="28"/>
          <w:lang w:eastAsia="zh-CN"/>
        </w:rPr>
        <w:t>2022</w:t>
      </w:r>
      <w:r>
        <w:rPr>
          <w:rFonts w:hint="eastAsia"/>
          <w:color w:val="000000"/>
          <w:szCs w:val="28"/>
          <w:lang w:eastAsia="zh-CN"/>
        </w:rPr>
        <w:t>年，我</w:t>
      </w:r>
      <w:r>
        <w:rPr>
          <w:color w:val="000000"/>
          <w:szCs w:val="28"/>
          <w:lang w:eastAsia="zh-CN"/>
        </w:rPr>
        <w:t>单位</w:t>
      </w:r>
      <w:r>
        <w:rPr>
          <w:rFonts w:hint="eastAsia"/>
          <w:color w:val="000000"/>
          <w:szCs w:val="28"/>
          <w:lang w:eastAsia="zh-CN"/>
        </w:rPr>
        <w:t>运行经费共计安排</w:t>
      </w:r>
      <w:r>
        <w:rPr>
          <w:rFonts w:hint="eastAsia" w:ascii="Calibri" w:hAnsi="Calibri"/>
          <w:color w:val="000000"/>
          <w:szCs w:val="28"/>
          <w:lang w:val="en-US" w:eastAsia="zh-CN"/>
        </w:rPr>
        <w:t>68.27</w:t>
      </w:r>
      <w:r>
        <w:rPr>
          <w:rFonts w:hint="eastAsia"/>
          <w:color w:val="000000"/>
          <w:szCs w:val="28"/>
        </w:rPr>
        <w:t>万元</w:t>
      </w:r>
      <w:r>
        <w:rPr>
          <w:rFonts w:hint="eastAsia"/>
          <w:color w:val="000000"/>
          <w:szCs w:val="28"/>
          <w:lang w:eastAsia="zh-CN"/>
        </w:rPr>
        <w:t>，主要用于</w:t>
      </w:r>
      <w:r>
        <w:rPr>
          <w:rFonts w:hint="eastAsia"/>
          <w:color w:val="000000"/>
          <w:szCs w:val="28"/>
        </w:rPr>
        <w:t>办公费</w:t>
      </w:r>
      <w:r>
        <w:rPr>
          <w:rFonts w:ascii="Calibri" w:hAnsi="Calibri"/>
          <w:color w:val="000000"/>
          <w:szCs w:val="28"/>
        </w:rPr>
        <w:t>23.22</w:t>
      </w:r>
      <w:r>
        <w:rPr>
          <w:rFonts w:hint="eastAsia"/>
          <w:color w:val="000000"/>
          <w:szCs w:val="28"/>
        </w:rPr>
        <w:t>万元，邮电费</w:t>
      </w:r>
      <w:r>
        <w:rPr>
          <w:rFonts w:ascii="Calibri" w:hAnsi="Calibri"/>
          <w:color w:val="000000"/>
          <w:szCs w:val="28"/>
        </w:rPr>
        <w:t>10.92</w:t>
      </w:r>
      <w:r>
        <w:rPr>
          <w:rFonts w:hint="eastAsia"/>
          <w:color w:val="000000"/>
          <w:szCs w:val="28"/>
        </w:rPr>
        <w:t>万元，公务用车运行维护费</w:t>
      </w:r>
      <w:r>
        <w:rPr>
          <w:rFonts w:ascii="Calibri" w:hAnsi="Calibri"/>
          <w:color w:val="000000"/>
          <w:szCs w:val="28"/>
        </w:rPr>
        <w:t>9.8</w:t>
      </w:r>
      <w:r>
        <w:rPr>
          <w:rFonts w:hint="eastAsia" w:ascii="Calibri" w:hAnsi="Calibri"/>
          <w:color w:val="000000"/>
          <w:szCs w:val="28"/>
          <w:lang w:val="en-US" w:eastAsia="zh-CN"/>
        </w:rPr>
        <w:t>0</w:t>
      </w:r>
      <w:r>
        <w:rPr>
          <w:rFonts w:hint="eastAsia"/>
          <w:color w:val="000000"/>
          <w:szCs w:val="28"/>
        </w:rPr>
        <w:t>万元，公务交通补贴</w:t>
      </w:r>
      <w:r>
        <w:rPr>
          <w:rFonts w:ascii="Calibri" w:hAnsi="Calibri"/>
          <w:color w:val="000000"/>
          <w:szCs w:val="28"/>
        </w:rPr>
        <w:t>18.65</w:t>
      </w:r>
      <w:r>
        <w:rPr>
          <w:rFonts w:hint="eastAsia"/>
          <w:color w:val="000000"/>
          <w:szCs w:val="28"/>
        </w:rPr>
        <w:t>万元，机关福利费</w:t>
      </w:r>
      <w:r>
        <w:rPr>
          <w:rFonts w:ascii="Calibri" w:hAnsi="Calibri"/>
          <w:color w:val="000000"/>
          <w:szCs w:val="28"/>
        </w:rPr>
        <w:t>2.7</w:t>
      </w:r>
      <w:r>
        <w:rPr>
          <w:rFonts w:hint="eastAsia" w:ascii="Calibri" w:hAnsi="Calibri"/>
          <w:color w:val="000000"/>
          <w:szCs w:val="28"/>
          <w:lang w:val="en-US" w:eastAsia="zh-CN"/>
        </w:rPr>
        <w:t>0</w:t>
      </w:r>
      <w:r>
        <w:rPr>
          <w:rFonts w:hint="eastAsia"/>
          <w:color w:val="000000"/>
          <w:szCs w:val="28"/>
        </w:rPr>
        <w:t>万元，工会经费</w:t>
      </w:r>
      <w:r>
        <w:rPr>
          <w:color w:val="000000"/>
          <w:szCs w:val="28"/>
        </w:rPr>
        <w:t>0.27</w:t>
      </w:r>
      <w:r>
        <w:rPr>
          <w:rFonts w:hint="eastAsia"/>
          <w:color w:val="000000"/>
          <w:szCs w:val="28"/>
        </w:rPr>
        <w:t>万元，退休干部公用经费</w:t>
      </w:r>
      <w:r>
        <w:rPr>
          <w:color w:val="000000"/>
          <w:szCs w:val="28"/>
        </w:rPr>
        <w:t>1.08</w:t>
      </w:r>
      <w:r>
        <w:rPr>
          <w:rFonts w:hint="eastAsia"/>
          <w:color w:val="000000"/>
          <w:szCs w:val="28"/>
        </w:rPr>
        <w:t>万元，退休干部特需费</w:t>
      </w:r>
      <w:r>
        <w:rPr>
          <w:color w:val="000000"/>
          <w:szCs w:val="28"/>
        </w:rPr>
        <w:t>0.54</w:t>
      </w:r>
      <w:r>
        <w:rPr>
          <w:rFonts w:hint="eastAsia"/>
          <w:color w:val="000000"/>
          <w:szCs w:val="28"/>
        </w:rPr>
        <w:t>万元，党组织活动经费</w:t>
      </w:r>
      <w:r>
        <w:rPr>
          <w:color w:val="000000"/>
          <w:szCs w:val="28"/>
        </w:rPr>
        <w:t>1.09</w:t>
      </w:r>
      <w:r>
        <w:rPr>
          <w:rFonts w:hint="eastAsia"/>
          <w:color w:val="000000"/>
          <w:szCs w:val="28"/>
        </w:rPr>
        <w:t>万元。</w:t>
      </w:r>
    </w:p>
    <w:p>
      <w:pPr>
        <w:spacing w:before="10" w:after="10" w:line="360" w:lineRule="auto"/>
        <w:ind w:firstLine="640"/>
        <w:outlineLvl w:val="2"/>
        <w:rPr>
          <w:rFonts w:ascii="黑体" w:eastAsia="黑体" w:cs="黑体"/>
          <w:color w:val="000000"/>
          <w:sz w:val="32"/>
          <w:lang w:eastAsia="zh-CN"/>
        </w:rPr>
      </w:pPr>
      <w:bookmarkStart w:id="12" w:name="_Toc_3_3_0000000013"/>
    </w:p>
    <w:p>
      <w:pPr>
        <w:spacing w:before="10" w:after="10" w:line="360" w:lineRule="auto"/>
        <w:ind w:firstLine="640"/>
        <w:outlineLvl w:val="2"/>
        <w:rPr>
          <w:lang w:eastAsia="zh-CN"/>
        </w:rPr>
      </w:pPr>
      <w:r>
        <w:rPr>
          <w:rFonts w:hint="eastAsia" w:ascii="黑体" w:eastAsia="黑体" w:cs="黑体"/>
          <w:color w:val="000000"/>
          <w:sz w:val="32"/>
        </w:rPr>
        <w:t>四、财政拨款“三公”经费预算情况及增减变化原因</w:t>
      </w:r>
      <w:bookmarkEnd w:id="12"/>
    </w:p>
    <w:p>
      <w:pPr>
        <w:spacing w:before="10" w:after="10" w:line="360" w:lineRule="auto"/>
        <w:ind w:firstLine="640"/>
        <w:outlineLvl w:val="2"/>
      </w:pPr>
      <w:r>
        <w:rPr>
          <w:color w:val="000000"/>
          <w:sz w:val="28"/>
          <w:szCs w:val="28"/>
          <w:lang w:eastAsia="zh-CN"/>
        </w:rPr>
        <w:t>2022</w:t>
      </w:r>
      <w:r>
        <w:rPr>
          <w:rFonts w:hint="eastAsia"/>
          <w:color w:val="000000"/>
          <w:sz w:val="28"/>
          <w:szCs w:val="28"/>
          <w:lang w:eastAsia="zh-CN"/>
        </w:rPr>
        <w:t>年，</w:t>
      </w:r>
      <w:r>
        <w:rPr>
          <w:rFonts w:hint="eastAsia"/>
          <w:color w:val="000000"/>
          <w:sz w:val="28"/>
          <w:szCs w:val="28"/>
        </w:rPr>
        <w:t>我</w:t>
      </w:r>
      <w:r>
        <w:rPr>
          <w:color w:val="000000"/>
          <w:sz w:val="28"/>
          <w:szCs w:val="28"/>
        </w:rPr>
        <w:t>单位</w:t>
      </w:r>
      <w:r>
        <w:rPr>
          <w:rFonts w:ascii="Calibri" w:hAnsi="Calibri"/>
          <w:color w:val="000000"/>
          <w:sz w:val="28"/>
          <w:szCs w:val="28"/>
        </w:rPr>
        <w:t xml:space="preserve"> “</w:t>
      </w:r>
      <w:r>
        <w:rPr>
          <w:rFonts w:hint="eastAsia"/>
          <w:color w:val="000000"/>
          <w:sz w:val="28"/>
          <w:szCs w:val="28"/>
        </w:rPr>
        <w:t>三公</w:t>
      </w:r>
      <w:r>
        <w:rPr>
          <w:rFonts w:ascii="Calibri" w:hAnsi="Calibri"/>
          <w:color w:val="000000"/>
          <w:sz w:val="28"/>
          <w:szCs w:val="28"/>
        </w:rPr>
        <w:t>”</w:t>
      </w:r>
      <w:r>
        <w:rPr>
          <w:rFonts w:hint="eastAsia"/>
          <w:color w:val="000000"/>
          <w:sz w:val="28"/>
          <w:szCs w:val="28"/>
        </w:rPr>
        <w:t>经费预算安排</w:t>
      </w:r>
      <w:r>
        <w:rPr>
          <w:rFonts w:ascii="Calibri" w:hAnsi="Calibri"/>
          <w:color w:val="000000"/>
          <w:sz w:val="28"/>
          <w:szCs w:val="28"/>
        </w:rPr>
        <w:t>16.3</w:t>
      </w:r>
      <w:r>
        <w:rPr>
          <w:rFonts w:hint="eastAsia" w:ascii="Calibri" w:hAnsi="Calibri"/>
          <w:color w:val="000000"/>
          <w:sz w:val="28"/>
          <w:szCs w:val="28"/>
          <w:lang w:val="en-US" w:eastAsia="zh-CN"/>
        </w:rPr>
        <w:t>0</w:t>
      </w:r>
      <w:r>
        <w:rPr>
          <w:rFonts w:hint="eastAsia"/>
          <w:color w:val="000000"/>
          <w:sz w:val="28"/>
          <w:szCs w:val="28"/>
        </w:rPr>
        <w:t>万元。其中，因公出国</w:t>
      </w:r>
      <w:r>
        <w:rPr>
          <w:rFonts w:ascii="Calibri" w:hAnsi="Calibri"/>
          <w:color w:val="000000"/>
          <w:sz w:val="28"/>
          <w:szCs w:val="28"/>
        </w:rPr>
        <w:t>0</w:t>
      </w:r>
      <w:r>
        <w:rPr>
          <w:rFonts w:hint="eastAsia"/>
          <w:color w:val="000000"/>
          <w:sz w:val="28"/>
          <w:szCs w:val="28"/>
        </w:rPr>
        <w:t>万元，公务用车运行维护费</w:t>
      </w:r>
      <w:r>
        <w:rPr>
          <w:rFonts w:ascii="Calibri" w:hAnsi="Calibri"/>
          <w:color w:val="000000"/>
          <w:sz w:val="28"/>
          <w:szCs w:val="28"/>
        </w:rPr>
        <w:t>9.8</w:t>
      </w:r>
      <w:r>
        <w:rPr>
          <w:rFonts w:hint="eastAsia" w:ascii="Calibri" w:hAnsi="Calibri"/>
          <w:color w:val="000000"/>
          <w:sz w:val="28"/>
          <w:szCs w:val="28"/>
          <w:lang w:val="en-US" w:eastAsia="zh-CN"/>
        </w:rPr>
        <w:t>0</w:t>
      </w:r>
      <w:r>
        <w:rPr>
          <w:rFonts w:hint="eastAsia"/>
          <w:color w:val="000000"/>
          <w:sz w:val="28"/>
          <w:szCs w:val="28"/>
        </w:rPr>
        <w:t>万元，公务接待费</w:t>
      </w:r>
      <w:r>
        <w:rPr>
          <w:rFonts w:ascii="Calibri" w:hAnsi="Calibri"/>
          <w:color w:val="000000"/>
          <w:sz w:val="28"/>
          <w:szCs w:val="28"/>
        </w:rPr>
        <w:t>6.5</w:t>
      </w:r>
      <w:r>
        <w:rPr>
          <w:rFonts w:hint="eastAsia" w:ascii="Calibri" w:hAnsi="Calibri"/>
          <w:color w:val="000000"/>
          <w:sz w:val="28"/>
          <w:szCs w:val="28"/>
          <w:lang w:val="en-US" w:eastAsia="zh-CN"/>
        </w:rPr>
        <w:t>0</w:t>
      </w:r>
      <w:r>
        <w:rPr>
          <w:rFonts w:hint="eastAsia"/>
          <w:color w:val="000000"/>
          <w:sz w:val="28"/>
          <w:szCs w:val="28"/>
        </w:rPr>
        <w:t>万元。较去年</w:t>
      </w:r>
      <w:r>
        <w:rPr>
          <w:rFonts w:ascii="Calibri" w:hAnsi="Calibri"/>
          <w:color w:val="000000"/>
          <w:sz w:val="28"/>
          <w:szCs w:val="28"/>
        </w:rPr>
        <w:t>19.22</w:t>
      </w:r>
      <w:r>
        <w:rPr>
          <w:rFonts w:hint="eastAsia"/>
          <w:color w:val="000000"/>
          <w:sz w:val="28"/>
          <w:szCs w:val="28"/>
        </w:rPr>
        <w:t>万元相比，减少</w:t>
      </w:r>
      <w:r>
        <w:rPr>
          <w:rFonts w:ascii="Calibri" w:hAnsi="Calibri"/>
          <w:color w:val="000000"/>
          <w:sz w:val="28"/>
          <w:szCs w:val="28"/>
        </w:rPr>
        <w:t>2</w:t>
      </w:r>
      <w:r>
        <w:rPr>
          <w:color w:val="000000"/>
          <w:sz w:val="28"/>
          <w:szCs w:val="28"/>
        </w:rPr>
        <w:t>.92</w:t>
      </w:r>
      <w:r>
        <w:rPr>
          <w:rFonts w:hint="eastAsia"/>
          <w:color w:val="000000"/>
          <w:sz w:val="28"/>
          <w:szCs w:val="28"/>
        </w:rPr>
        <w:t>万元。主要原因是压缩“三公”经费支出，公务用车运行维护费较去年</w:t>
      </w:r>
      <w:r>
        <w:rPr>
          <w:color w:val="000000"/>
          <w:sz w:val="28"/>
          <w:szCs w:val="28"/>
        </w:rPr>
        <w:t>12</w:t>
      </w:r>
      <w:r>
        <w:rPr>
          <w:rFonts w:hint="eastAsia"/>
          <w:color w:val="000000"/>
          <w:sz w:val="28"/>
          <w:szCs w:val="28"/>
          <w:lang w:val="en-US" w:eastAsia="zh-CN"/>
        </w:rPr>
        <w:t>.00</w:t>
      </w:r>
      <w:r>
        <w:rPr>
          <w:rFonts w:hint="eastAsia"/>
          <w:color w:val="000000"/>
          <w:sz w:val="28"/>
          <w:szCs w:val="28"/>
        </w:rPr>
        <w:t>万元减少</w:t>
      </w:r>
      <w:r>
        <w:rPr>
          <w:color w:val="000000"/>
          <w:sz w:val="28"/>
          <w:szCs w:val="28"/>
        </w:rPr>
        <w:t>2.2</w:t>
      </w:r>
      <w:r>
        <w:rPr>
          <w:rFonts w:hint="eastAsia"/>
          <w:color w:val="000000"/>
          <w:sz w:val="28"/>
          <w:szCs w:val="28"/>
          <w:lang w:val="en-US" w:eastAsia="zh-CN"/>
        </w:rPr>
        <w:t>0</w:t>
      </w:r>
      <w:r>
        <w:rPr>
          <w:rFonts w:hint="eastAsia"/>
          <w:color w:val="000000"/>
          <w:sz w:val="28"/>
          <w:szCs w:val="28"/>
        </w:rPr>
        <w:t>万元，公务接待费较去年</w:t>
      </w:r>
      <w:r>
        <w:rPr>
          <w:color w:val="000000"/>
          <w:sz w:val="28"/>
          <w:szCs w:val="28"/>
        </w:rPr>
        <w:t>7.22</w:t>
      </w:r>
      <w:r>
        <w:rPr>
          <w:rFonts w:hint="eastAsia"/>
          <w:color w:val="000000"/>
          <w:sz w:val="28"/>
          <w:szCs w:val="28"/>
        </w:rPr>
        <w:t>万元减少</w:t>
      </w:r>
      <w:r>
        <w:rPr>
          <w:color w:val="000000"/>
          <w:sz w:val="28"/>
          <w:szCs w:val="28"/>
        </w:rPr>
        <w:t>0.72</w:t>
      </w:r>
      <w:r>
        <w:rPr>
          <w:rFonts w:hint="eastAsia"/>
          <w:color w:val="000000"/>
          <w:sz w:val="28"/>
          <w:szCs w:val="28"/>
        </w:rPr>
        <w:t>万元。</w:t>
      </w:r>
    </w:p>
    <w:p>
      <w:pPr>
        <w:pStyle w:val="24"/>
      </w:pPr>
    </w:p>
    <w:p>
      <w:pPr>
        <w:pStyle w:val="24"/>
      </w:pPr>
    </w:p>
    <w:p>
      <w:pPr>
        <w:spacing w:before="10" w:after="10" w:line="360" w:lineRule="auto"/>
        <w:ind w:firstLine="640"/>
        <w:outlineLvl w:val="2"/>
      </w:pPr>
      <w:bookmarkStart w:id="13" w:name="_Toc_3_3_0000000014"/>
      <w:r>
        <w:rPr>
          <w:rFonts w:hint="eastAsia" w:ascii="黑体" w:eastAsia="黑体" w:cs="黑体"/>
          <w:color w:val="000000"/>
          <w:sz w:val="32"/>
        </w:rPr>
        <w:t>五、预算绩效信息</w:t>
      </w:r>
      <w:bookmarkEnd w:id="13"/>
    </w:p>
    <w:p>
      <w:pPr>
        <w:ind w:firstLine="640"/>
      </w:pPr>
      <w:r>
        <w:rPr>
          <w:rFonts w:hint="eastAsia" w:ascii="方正楷体_GBK" w:eastAsia="方正楷体_GBK" w:cs="方正楷体_GBK"/>
          <w:b/>
          <w:color w:val="000000"/>
          <w:sz w:val="32"/>
        </w:rPr>
        <w:t>第一部分</w:t>
      </w:r>
      <w:r>
        <w:rPr>
          <w:rFonts w:ascii="方正楷体_GBK" w:eastAsia="方正楷体_GBK" w:cs="方正楷体_GBK"/>
          <w:b/>
          <w:color w:val="000000"/>
          <w:sz w:val="32"/>
        </w:rPr>
        <w:t xml:space="preserve"> 单位</w:t>
      </w:r>
      <w:r>
        <w:rPr>
          <w:rFonts w:hint="eastAsia" w:ascii="方正楷体_GBK" w:eastAsia="方正楷体_GBK" w:cs="方正楷体_GBK"/>
          <w:b/>
          <w:color w:val="000000"/>
          <w:sz w:val="32"/>
        </w:rPr>
        <w:t>整体绩效目标</w:t>
      </w:r>
    </w:p>
    <w:p>
      <w:pPr>
        <w:spacing w:line="500" w:lineRule="exact"/>
        <w:ind w:firstLine="560"/>
      </w:pPr>
      <w:r>
        <w:rPr>
          <w:rFonts w:hint="eastAsia" w:eastAsia="方正仿宋_GBK"/>
          <w:color w:val="000000"/>
          <w:sz w:val="28"/>
        </w:rPr>
        <w:t>（一）总体绩效目标</w:t>
      </w:r>
    </w:p>
    <w:p>
      <w:pPr>
        <w:pStyle w:val="25"/>
        <w:rPr>
          <w:lang w:eastAsia="zh-CN"/>
        </w:rPr>
      </w:pPr>
      <w:r>
        <w:t>2022</w:t>
      </w:r>
      <w:r>
        <w:rPr>
          <w:rFonts w:hint="eastAsia"/>
        </w:rPr>
        <w:t>年县人大常委会</w:t>
      </w:r>
      <w:r>
        <w:t>办公室</w:t>
      </w:r>
      <w:r>
        <w:rPr>
          <w:rFonts w:hint="eastAsia"/>
        </w:rPr>
        <w:t>将坚持以习近平新时代中国特色社会主义思想为指导，深入贯彻党的十九大和十九届四中五中六中全会精神，全面落实省委、市委全会，紧紧围绕</w:t>
      </w:r>
      <w:r>
        <w:t>“</w:t>
      </w:r>
      <w:r>
        <w:rPr>
          <w:rFonts w:hint="eastAsia"/>
        </w:rPr>
        <w:t>雄安卫星城、美丽新高阳</w:t>
      </w:r>
      <w:r>
        <w:t>”</w:t>
      </w:r>
      <w:r>
        <w:rPr>
          <w:rFonts w:hint="eastAsia"/>
        </w:rPr>
        <w:t>奋斗目标在县委坚强领导下，努力在强化政治引领上有新成效，在代表作用发挥上有新提升，在自身建设上有新气象，为努力开创高阳高质量发展新局面贡献人大力量。强化党的领导，政治建设上要有新举措，强化服务大局，重点工作上要有新担当，强化依法治县，法治建设上要有新进展，强化代表服务，代表履职上要有新成效，强化争先创优，自身建设上要有新气象。听取和审议</w:t>
      </w:r>
      <w:r>
        <w:t>“</w:t>
      </w:r>
      <w:r>
        <w:rPr>
          <w:rFonts w:hint="eastAsia"/>
        </w:rPr>
        <w:t>一府两院</w:t>
      </w:r>
      <w:r>
        <w:t>”</w:t>
      </w:r>
      <w:r>
        <w:rPr>
          <w:rFonts w:hint="eastAsia"/>
        </w:rPr>
        <w:t>工作报告</w:t>
      </w:r>
      <w:r>
        <w:t>12</w:t>
      </w:r>
      <w:r>
        <w:rPr>
          <w:rFonts w:hint="eastAsia"/>
        </w:rPr>
        <w:t>项以上，开展视察、调研</w:t>
      </w:r>
      <w:r>
        <w:t>8</w:t>
      </w:r>
      <w:r>
        <w:rPr>
          <w:rFonts w:hint="eastAsia"/>
        </w:rPr>
        <w:t>次以上，开展执法检查</w:t>
      </w:r>
      <w:r>
        <w:t>2</w:t>
      </w:r>
      <w:r>
        <w:rPr>
          <w:rFonts w:hint="eastAsia"/>
        </w:rPr>
        <w:t>次，加强人大代表之家建设，培训代表</w:t>
      </w:r>
      <w:r>
        <w:t>2</w:t>
      </w:r>
      <w:r>
        <w:rPr>
          <w:rFonts w:hint="eastAsia"/>
        </w:rPr>
        <w:t>次，召开人代会议</w:t>
      </w:r>
      <w:r>
        <w:t>1</w:t>
      </w:r>
      <w:r>
        <w:rPr>
          <w:rFonts w:hint="eastAsia"/>
        </w:rPr>
        <w:t>次，召开</w:t>
      </w:r>
      <w:r>
        <w:rPr>
          <w:rFonts w:hint="eastAsia"/>
          <w:lang w:eastAsia="zh-CN"/>
        </w:rPr>
        <w:t>常委会会议</w:t>
      </w:r>
      <w:r>
        <w:t>6</w:t>
      </w:r>
      <w:r>
        <w:rPr>
          <w:rFonts w:hint="eastAsia"/>
        </w:rPr>
        <w:t>次以上，根据实际情况依法任免国家机关工作人员。</w:t>
      </w:r>
    </w:p>
    <w:p>
      <w:pPr>
        <w:spacing w:line="500" w:lineRule="exact"/>
        <w:ind w:firstLine="560"/>
      </w:pPr>
      <w:r>
        <w:rPr>
          <w:rFonts w:hint="eastAsia" w:eastAsia="方正仿宋_GBK"/>
          <w:color w:val="000000"/>
          <w:sz w:val="28"/>
        </w:rPr>
        <w:t>（二）分项绩效目标</w:t>
      </w:r>
    </w:p>
    <w:p>
      <w:pPr>
        <w:pStyle w:val="26"/>
      </w:pPr>
      <w:r>
        <w:rPr>
          <w:lang w:eastAsia="zh-CN"/>
        </w:rPr>
        <w:t>1</w:t>
      </w:r>
      <w:r>
        <w:rPr>
          <w:rFonts w:hint="eastAsia"/>
          <w:lang w:eastAsia="zh-CN"/>
        </w:rPr>
        <w:t>、</w:t>
      </w:r>
      <w:r>
        <w:rPr>
          <w:rFonts w:hint="eastAsia"/>
        </w:rPr>
        <w:t>做好人大监督工作。</w:t>
      </w:r>
    </w:p>
    <w:p>
      <w:pPr>
        <w:pStyle w:val="26"/>
      </w:pPr>
      <w:r>
        <w:rPr>
          <w:rFonts w:hint="eastAsia"/>
        </w:rPr>
        <w:t>绩效目标：发挥委员、代表作用，开展检查、视察和调研，监督</w:t>
      </w:r>
      <w:r>
        <w:t>“</w:t>
      </w:r>
      <w:r>
        <w:rPr>
          <w:rFonts w:hint="eastAsia"/>
        </w:rPr>
        <w:t>一府两院</w:t>
      </w:r>
      <w:r>
        <w:t>”</w:t>
      </w:r>
      <w:r>
        <w:rPr>
          <w:rFonts w:hint="eastAsia"/>
        </w:rPr>
        <w:t>改进工作。</w:t>
      </w:r>
    </w:p>
    <w:p>
      <w:pPr>
        <w:pStyle w:val="26"/>
      </w:pPr>
      <w:r>
        <w:rPr>
          <w:rFonts w:hint="eastAsia"/>
        </w:rPr>
        <w:t>绩效指标：视察、检查听取工作报告和调研任务</w:t>
      </w:r>
      <w:r>
        <w:t>100%</w:t>
      </w:r>
      <w:r>
        <w:rPr>
          <w:rFonts w:hint="eastAsia"/>
        </w:rPr>
        <w:t>完成。</w:t>
      </w:r>
    </w:p>
    <w:p>
      <w:pPr>
        <w:pStyle w:val="26"/>
      </w:pPr>
      <w:r>
        <w:rPr>
          <w:lang w:eastAsia="zh-CN"/>
        </w:rPr>
        <w:t>2</w:t>
      </w:r>
      <w:r>
        <w:rPr>
          <w:rFonts w:hint="eastAsia"/>
          <w:lang w:eastAsia="zh-CN"/>
        </w:rPr>
        <w:t>、</w:t>
      </w:r>
      <w:r>
        <w:rPr>
          <w:rFonts w:hint="eastAsia"/>
        </w:rPr>
        <w:t>做好人大会议工作</w:t>
      </w:r>
    </w:p>
    <w:p>
      <w:pPr>
        <w:pStyle w:val="26"/>
      </w:pPr>
      <w:r>
        <w:rPr>
          <w:rFonts w:hint="eastAsia"/>
        </w:rPr>
        <w:t>绩效目标：规范会议程序、认真筹备会议、审议质量提高、会议圆满召开。</w:t>
      </w:r>
    </w:p>
    <w:p>
      <w:pPr>
        <w:pStyle w:val="26"/>
      </w:pPr>
      <w:r>
        <w:rPr>
          <w:rFonts w:hint="eastAsia"/>
        </w:rPr>
        <w:t>绩效指标：会议筹备及会务工作</w:t>
      </w:r>
      <w:r>
        <w:t>100%</w:t>
      </w:r>
      <w:r>
        <w:rPr>
          <w:rFonts w:hint="eastAsia"/>
        </w:rPr>
        <w:t>完成。</w:t>
      </w:r>
    </w:p>
    <w:p>
      <w:pPr>
        <w:pStyle w:val="26"/>
      </w:pPr>
      <w:r>
        <w:rPr>
          <w:lang w:eastAsia="zh-CN"/>
        </w:rPr>
        <w:t>3</w:t>
      </w:r>
      <w:r>
        <w:rPr>
          <w:rFonts w:hint="eastAsia"/>
          <w:lang w:eastAsia="zh-CN"/>
        </w:rPr>
        <w:t>、</w:t>
      </w:r>
      <w:r>
        <w:rPr>
          <w:rFonts w:hint="eastAsia"/>
        </w:rPr>
        <w:t>做好选举任免工作</w:t>
      </w:r>
    </w:p>
    <w:p>
      <w:pPr>
        <w:pStyle w:val="26"/>
      </w:pPr>
      <w:r>
        <w:rPr>
          <w:rFonts w:hint="eastAsia"/>
        </w:rPr>
        <w:t>绩效目标：确保党委人事安排部署的实现，有效实施对</w:t>
      </w:r>
      <w:r>
        <w:t>“</w:t>
      </w:r>
      <w:r>
        <w:rPr>
          <w:rFonts w:hint="eastAsia"/>
        </w:rPr>
        <w:t>一府两院</w:t>
      </w:r>
      <w:r>
        <w:t>”</w:t>
      </w:r>
      <w:r>
        <w:rPr>
          <w:rFonts w:hint="eastAsia"/>
        </w:rPr>
        <w:t>组成人员的监督。</w:t>
      </w:r>
    </w:p>
    <w:p>
      <w:pPr>
        <w:pStyle w:val="26"/>
      </w:pPr>
      <w:r>
        <w:rPr>
          <w:rFonts w:hint="eastAsia"/>
        </w:rPr>
        <w:t>绩效指标：党委人事安排</w:t>
      </w:r>
      <w:r>
        <w:t>100%</w:t>
      </w:r>
      <w:r>
        <w:rPr>
          <w:rFonts w:hint="eastAsia"/>
        </w:rPr>
        <w:t>完成。</w:t>
      </w:r>
    </w:p>
    <w:p>
      <w:pPr>
        <w:pStyle w:val="26"/>
      </w:pPr>
      <w:r>
        <w:rPr>
          <w:lang w:eastAsia="zh-CN"/>
        </w:rPr>
        <w:t>4</w:t>
      </w:r>
      <w:r>
        <w:rPr>
          <w:rFonts w:hint="eastAsia"/>
          <w:lang w:eastAsia="zh-CN"/>
        </w:rPr>
        <w:t>、</w:t>
      </w:r>
      <w:r>
        <w:rPr>
          <w:rFonts w:hint="eastAsia"/>
        </w:rPr>
        <w:t>做好人大事务管理工作</w:t>
      </w:r>
    </w:p>
    <w:p>
      <w:pPr>
        <w:pStyle w:val="26"/>
      </w:pPr>
      <w:r>
        <w:rPr>
          <w:rFonts w:hint="eastAsia"/>
        </w:rPr>
        <w:t>绩效目标：机关基础设施、设备正常运转、各种文件收发有序、信访接待工作有序开展。</w:t>
      </w:r>
    </w:p>
    <w:p>
      <w:pPr>
        <w:pStyle w:val="26"/>
        <w:rPr>
          <w:lang w:eastAsia="zh-CN"/>
        </w:rPr>
      </w:pPr>
      <w:r>
        <w:rPr>
          <w:rFonts w:hint="eastAsia"/>
        </w:rPr>
        <w:t>绩效指标：各项工作完成率大于等于</w:t>
      </w:r>
      <w:r>
        <w:t>90%</w:t>
      </w:r>
      <w:r>
        <w:rPr>
          <w:rFonts w:hint="eastAsia"/>
        </w:rPr>
        <w:t>。</w:t>
      </w:r>
    </w:p>
    <w:p>
      <w:pPr>
        <w:spacing w:line="500" w:lineRule="exact"/>
        <w:ind w:firstLine="560"/>
      </w:pPr>
      <w:r>
        <w:rPr>
          <w:rFonts w:hint="eastAsia" w:eastAsia="方正仿宋_GBK"/>
          <w:color w:val="000000"/>
          <w:sz w:val="28"/>
        </w:rPr>
        <w:t>（三）工作保障措施</w:t>
      </w:r>
    </w:p>
    <w:p>
      <w:pPr>
        <w:pStyle w:val="27"/>
      </w:pPr>
      <w:r>
        <w:rPr>
          <w:lang w:eastAsia="zh-CN"/>
        </w:rPr>
        <w:t>1</w:t>
      </w:r>
      <w:r>
        <w:rPr>
          <w:rFonts w:hint="eastAsia"/>
          <w:lang w:eastAsia="zh-CN"/>
        </w:rPr>
        <w:t>、</w:t>
      </w:r>
      <w:r>
        <w:rPr>
          <w:rFonts w:hint="eastAsia"/>
        </w:rPr>
        <w:t>完善制度建设。制定完善预算绩效管理制度、资金管理办法、工作保障制度等，为全年预算绩效目标的实现奠定制度基础。</w:t>
      </w:r>
    </w:p>
    <w:p>
      <w:pPr>
        <w:pStyle w:val="27"/>
      </w:pPr>
      <w:r>
        <w:rPr>
          <w:lang w:eastAsia="zh-CN"/>
        </w:rPr>
        <w:t>2</w:t>
      </w:r>
      <w:r>
        <w:rPr>
          <w:rFonts w:hint="eastAsia"/>
          <w:lang w:eastAsia="zh-CN"/>
        </w:rPr>
        <w:t>、</w:t>
      </w:r>
      <w:r>
        <w:rPr>
          <w:rFonts w:hint="eastAsia"/>
        </w:rPr>
        <w:t>加强支出管理。通过优化支出结构、编细编实预算、尽快启动项目、及时支付资金、等多种措施，确保支出进度达标。</w:t>
      </w:r>
    </w:p>
    <w:p>
      <w:pPr>
        <w:pStyle w:val="27"/>
      </w:pPr>
      <w:r>
        <w:rPr>
          <w:lang w:eastAsia="zh-CN"/>
        </w:rPr>
        <w:t>3</w:t>
      </w:r>
      <w:r>
        <w:rPr>
          <w:rFonts w:hint="eastAsia"/>
          <w:lang w:eastAsia="zh-CN"/>
        </w:rPr>
        <w:t>、</w:t>
      </w:r>
      <w:r>
        <w:rPr>
          <w:rFonts w:hint="eastAsia"/>
        </w:rPr>
        <w:t>加强绩效运行监控。按要求开展绩效运行监控，发现问题及时采取措施，确保绩效目标如期保质实现。</w:t>
      </w:r>
    </w:p>
    <w:p>
      <w:pPr>
        <w:pStyle w:val="27"/>
      </w:pPr>
      <w:r>
        <w:rPr>
          <w:lang w:eastAsia="zh-CN"/>
        </w:rPr>
        <w:t>4</w:t>
      </w:r>
      <w:r>
        <w:rPr>
          <w:rFonts w:hint="eastAsia"/>
          <w:lang w:eastAsia="zh-CN"/>
        </w:rPr>
        <w:t>、</w:t>
      </w:r>
      <w:r>
        <w:rPr>
          <w:rFonts w:hint="eastAsia"/>
        </w:rPr>
        <w:t>做好绩效自评。按要求开展上年度</w:t>
      </w:r>
      <w:r>
        <w:rPr>
          <w:rFonts w:hint="eastAsia"/>
          <w:lang w:eastAsia="zh-CN"/>
        </w:rPr>
        <w:t>单位</w:t>
      </w:r>
      <w:r>
        <w:rPr>
          <w:rFonts w:hint="eastAsia"/>
        </w:rPr>
        <w:t>预算绩效自评和重点评价工作，对评价中发现的问题及时整改，调整优化支出结构，提高财政资金使用效益。</w:t>
      </w:r>
    </w:p>
    <w:p>
      <w:pPr>
        <w:pStyle w:val="27"/>
      </w:pPr>
      <w:r>
        <w:rPr>
          <w:lang w:eastAsia="zh-CN"/>
        </w:rPr>
        <w:t>5</w:t>
      </w:r>
      <w:r>
        <w:rPr>
          <w:rFonts w:hint="eastAsia"/>
          <w:lang w:eastAsia="zh-CN"/>
        </w:rPr>
        <w:t>、</w:t>
      </w:r>
      <w:r>
        <w:rPr>
          <w:rFonts w:hint="eastAsia"/>
        </w:rPr>
        <w:t>规范财务资产管理。完善财务管理制度，严格审批程序，加强固定资产登记、使用和报废处置管理，做到支出合理，物尽其用。</w:t>
      </w:r>
    </w:p>
    <w:p>
      <w:pPr>
        <w:pStyle w:val="27"/>
      </w:pPr>
      <w:r>
        <w:rPr>
          <w:lang w:eastAsia="zh-CN"/>
        </w:rPr>
        <w:t>6</w:t>
      </w:r>
      <w:r>
        <w:rPr>
          <w:rFonts w:hint="eastAsia"/>
          <w:lang w:eastAsia="zh-CN"/>
        </w:rPr>
        <w:t>、</w:t>
      </w:r>
      <w:r>
        <w:rPr>
          <w:rFonts w:hint="eastAsia"/>
        </w:rPr>
        <w:t>加强内部监督。加强内部监督制度建设，对绩效运行情况、资产处置及其他重要经济业务事项的决策和执行进行督导，对会计资料进行内部审计，并配合做好审计、财政监督等外部监督工作，确保财政资金安全有效。</w:t>
      </w:r>
    </w:p>
    <w:p>
      <w:pPr>
        <w:pStyle w:val="27"/>
      </w:pPr>
      <w:r>
        <w:rPr>
          <w:lang w:eastAsia="zh-CN"/>
        </w:rPr>
        <w:t>7</w:t>
      </w:r>
      <w:r>
        <w:rPr>
          <w:rFonts w:hint="eastAsia"/>
          <w:lang w:eastAsia="zh-CN"/>
        </w:rPr>
        <w:t>、</w:t>
      </w:r>
      <w:r>
        <w:rPr>
          <w:rFonts w:hint="eastAsia"/>
        </w:rPr>
        <w:t>加强宣传培训调研等。加强人员培训，提高本</w:t>
      </w:r>
      <w:r>
        <w:rPr>
          <w:rFonts w:hint="eastAsia"/>
          <w:lang w:eastAsia="zh-CN"/>
        </w:rPr>
        <w:t>单位</w:t>
      </w:r>
      <w:r>
        <w:rPr>
          <w:rFonts w:hint="eastAsia"/>
        </w:rPr>
        <w:t>职工业务素质；加强调研，提出优化财政资金配置、提高资金使用效益的</w:t>
      </w:r>
      <w:r>
        <w:rPr>
          <w:rFonts w:hint="eastAsia"/>
          <w:lang w:eastAsia="zh-CN"/>
        </w:rPr>
        <w:t>意见</w:t>
      </w:r>
      <w:r>
        <w:rPr>
          <w:rFonts w:hint="eastAsia"/>
        </w:rPr>
        <w:t>；加大宣传力度，强化预算绩效管理意识，促进预算绩效管理水平进一步提升。</w:t>
      </w:r>
    </w:p>
    <w:p>
      <w:pPr>
        <w:ind w:firstLine="640"/>
        <w:rPr>
          <w:rFonts w:ascii="方正楷体_GBK" w:eastAsia="方正楷体_GBK" w:cs="方正楷体_GBK"/>
          <w:b/>
          <w:color w:val="000000"/>
          <w:sz w:val="32"/>
          <w:lang w:eastAsia="zh-CN"/>
        </w:rPr>
      </w:pPr>
    </w:p>
    <w:p>
      <w:pPr>
        <w:ind w:firstLine="640"/>
        <w:rPr>
          <w:rFonts w:ascii="方正楷体_GBK" w:eastAsia="方正楷体_GBK" w:cs="方正楷体_GBK"/>
          <w:b/>
          <w:color w:val="000000"/>
          <w:sz w:val="32"/>
          <w:lang w:eastAsia="zh-CN"/>
        </w:rPr>
      </w:pPr>
      <w:r>
        <w:rPr>
          <w:rFonts w:hint="eastAsia" w:ascii="方正楷体_GBK" w:eastAsia="方正楷体_GBK" w:cs="方正楷体_GBK"/>
          <w:b/>
          <w:color w:val="000000"/>
          <w:sz w:val="32"/>
        </w:rPr>
        <w:t>第二部分</w:t>
      </w:r>
      <w:r>
        <w:rPr>
          <w:rFonts w:ascii="方正楷体_GBK" w:eastAsia="方正楷体_GBK" w:cs="方正楷体_GBK"/>
          <w:b/>
          <w:color w:val="000000"/>
          <w:sz w:val="32"/>
        </w:rPr>
        <w:t xml:space="preserve">  </w:t>
      </w:r>
      <w:r>
        <w:rPr>
          <w:rFonts w:hint="eastAsia" w:ascii="方正楷体_GBK" w:eastAsia="方正楷体_GBK" w:cs="方正楷体_GBK"/>
          <w:b/>
          <w:color w:val="000000"/>
          <w:sz w:val="32"/>
        </w:rPr>
        <w:t>专项资金绩效目标</w:t>
      </w:r>
    </w:p>
    <w:p>
      <w:pPr>
        <w:ind w:firstLine="640"/>
        <w:rPr>
          <w:rFonts w:eastAsia="方正仿宋_GBK"/>
          <w:sz w:val="28"/>
          <w:lang w:eastAsia="zh-CN"/>
        </w:rPr>
      </w:pPr>
    </w:p>
    <w:p>
      <w:pPr>
        <w:ind w:firstLine="640"/>
        <w:rPr>
          <w:rFonts w:hint="eastAsia" w:eastAsia="方正仿宋_GBK"/>
          <w:sz w:val="28"/>
          <w:lang w:eastAsia="zh-CN"/>
        </w:rPr>
      </w:pPr>
      <w:r>
        <w:rPr>
          <w:rFonts w:eastAsia="方正仿宋_GBK"/>
          <w:sz w:val="28"/>
        </w:rPr>
        <w:t>无</w:t>
      </w:r>
      <w:r>
        <w:rPr>
          <w:rFonts w:hint="eastAsia" w:eastAsia="方正仿宋_GBK"/>
          <w:sz w:val="28"/>
          <w:lang w:eastAsia="zh-CN"/>
        </w:rPr>
        <w:t>。</w:t>
      </w:r>
    </w:p>
    <w:p>
      <w:pPr>
        <w:pStyle w:val="28"/>
        <w:rPr>
          <w:rFonts w:ascii="方正楷体_GBK" w:eastAsia="方正楷体_GBK" w:cs="方正楷体_GBK"/>
          <w:b/>
          <w:color w:val="000000"/>
          <w:sz w:val="32"/>
          <w:lang w:eastAsia="zh-CN"/>
        </w:rPr>
      </w:pPr>
    </w:p>
    <w:p>
      <w:pPr>
        <w:pStyle w:val="28"/>
        <w:ind w:firstLine="640"/>
      </w:pPr>
      <w:r>
        <w:rPr>
          <w:rFonts w:hint="eastAsia" w:ascii="方正楷体_GBK" w:eastAsia="方正楷体_GBK" w:cs="方正楷体_GBK"/>
          <w:b/>
          <w:color w:val="000000"/>
          <w:sz w:val="32"/>
        </w:rPr>
        <w:t>第三部分</w:t>
      </w:r>
      <w:r>
        <w:rPr>
          <w:rFonts w:ascii="方正楷体_GBK" w:eastAsia="方正楷体_GBK" w:cs="方正楷体_GBK"/>
          <w:b/>
          <w:color w:val="000000"/>
          <w:sz w:val="32"/>
        </w:rPr>
        <w:t xml:space="preserve">  </w:t>
      </w:r>
      <w:r>
        <w:rPr>
          <w:rFonts w:hint="eastAsia" w:ascii="方正楷体_GBK" w:eastAsia="方正楷体_GBK" w:cs="方正楷体_GBK"/>
          <w:b/>
          <w:color w:val="000000"/>
          <w:sz w:val="32"/>
        </w:rPr>
        <w:t>预算项目绩效目标</w:t>
      </w:r>
    </w:p>
    <w:p>
      <w:pPr>
        <w:pStyle w:val="28"/>
        <w:ind w:firstLine="560"/>
        <w:rPr>
          <w:rFonts w:ascii="方正仿宋_GBK" w:eastAsia="方正仿宋_GBK" w:cs="方正仿宋_GBK"/>
          <w:b/>
          <w:color w:val="000000"/>
          <w:sz w:val="28"/>
          <w:lang w:eastAsia="zh-CN"/>
        </w:rPr>
      </w:pPr>
    </w:p>
    <w:p>
      <w:pPr>
        <w:pStyle w:val="28"/>
        <w:ind w:firstLine="560"/>
      </w:pPr>
      <w:r>
        <w:rPr>
          <w:rFonts w:ascii="方正仿宋_GBK" w:eastAsia="方正仿宋_GBK" w:cs="方正仿宋_GBK"/>
          <w:b/>
          <w:color w:val="000000"/>
          <w:sz w:val="28"/>
        </w:rPr>
        <w:t>1</w:t>
      </w:r>
      <w:r>
        <w:rPr>
          <w:rFonts w:hint="eastAsia" w:ascii="方正仿宋_GBK" w:eastAsia="方正仿宋_GBK" w:cs="方正仿宋_GBK"/>
          <w:b/>
          <w:color w:val="000000"/>
          <w:sz w:val="28"/>
        </w:rPr>
        <w:t>、高阳县人大代表之家建设绩效目标表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29"/>
            </w:pPr>
            <w:r>
              <w:rPr>
                <w:rFonts w:hint="eastAsia"/>
              </w:rPr>
              <w:t>绩效目标</w:t>
            </w:r>
          </w:p>
        </w:tc>
        <w:tc>
          <w:tcPr>
            <w:tcW w:w="12756" w:type="dxa"/>
            <w:tcBorders>
              <w:top w:val="single" w:color="000000" w:sz="6" w:space="0"/>
              <w:bottom w:val="single" w:color="FFFFFF" w:sz="6" w:space="0"/>
            </w:tcBorders>
            <w:vAlign w:val="center"/>
          </w:tcPr>
          <w:p>
            <w:pPr>
              <w:pStyle w:val="30"/>
              <w:numPr>
                <w:ilvl w:val="0"/>
                <w:numId w:val="1"/>
              </w:numPr>
              <w:rPr>
                <w:lang w:eastAsia="zh-CN"/>
              </w:rPr>
            </w:pPr>
            <w:r>
              <w:rPr>
                <w:rFonts w:hint="eastAsia"/>
                <w:lang w:eastAsia="zh-CN"/>
              </w:rPr>
              <w:t>建设完善</w:t>
            </w:r>
            <w:r>
              <w:rPr>
                <w:lang w:eastAsia="zh-CN"/>
              </w:rPr>
              <w:t>9</w:t>
            </w:r>
            <w:r>
              <w:rPr>
                <w:rFonts w:hint="eastAsia"/>
                <w:lang w:eastAsia="zh-CN"/>
              </w:rPr>
              <w:t>个代表之家和</w:t>
            </w:r>
            <w:r>
              <w:rPr>
                <w:lang w:eastAsia="zh-CN"/>
              </w:rPr>
              <w:t>18</w:t>
            </w:r>
            <w:r>
              <w:rPr>
                <w:rFonts w:hint="eastAsia"/>
                <w:lang w:eastAsia="zh-CN"/>
              </w:rPr>
              <w:t>个代表联络站及村级代表联络小组；</w:t>
            </w:r>
          </w:p>
          <w:p>
            <w:pPr>
              <w:pStyle w:val="30"/>
              <w:numPr>
                <w:ilvl w:val="0"/>
                <w:numId w:val="1"/>
              </w:numPr>
              <w:rPr>
                <w:lang w:eastAsia="zh-CN"/>
              </w:rPr>
            </w:pPr>
            <w:r>
              <w:rPr>
                <w:rFonts w:hint="eastAsia"/>
                <w:lang w:eastAsia="zh-CN"/>
              </w:rPr>
              <w:t>开展调研、视察、执法检查等活动</w:t>
            </w:r>
            <w:r>
              <w:rPr>
                <w:lang w:eastAsia="zh-CN"/>
              </w:rPr>
              <w:t>8</w:t>
            </w:r>
            <w:r>
              <w:rPr>
                <w:rFonts w:hint="eastAsia"/>
                <w:lang w:eastAsia="zh-CN"/>
              </w:rPr>
              <w:t>次。</w:t>
            </w:r>
          </w:p>
        </w:tc>
      </w:tr>
    </w:tbl>
    <w:p>
      <w:pPr>
        <w:pStyle w:val="28"/>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29"/>
            </w:pPr>
            <w:r>
              <w:rPr>
                <w:rFonts w:hint="eastAsia"/>
              </w:rPr>
              <w:t>一级指标</w:t>
            </w:r>
          </w:p>
        </w:tc>
        <w:tc>
          <w:tcPr>
            <w:tcW w:w="2268" w:type="dxa"/>
            <w:vAlign w:val="center"/>
          </w:tcPr>
          <w:p>
            <w:pPr>
              <w:pStyle w:val="29"/>
            </w:pPr>
            <w:r>
              <w:rPr>
                <w:rFonts w:hint="eastAsia"/>
              </w:rPr>
              <w:t>二级指标</w:t>
            </w:r>
          </w:p>
        </w:tc>
        <w:tc>
          <w:tcPr>
            <w:tcW w:w="2835" w:type="dxa"/>
            <w:vAlign w:val="center"/>
          </w:tcPr>
          <w:p>
            <w:pPr>
              <w:pStyle w:val="29"/>
            </w:pPr>
            <w:r>
              <w:rPr>
                <w:rFonts w:hint="eastAsia"/>
              </w:rPr>
              <w:t>三级指标</w:t>
            </w:r>
          </w:p>
        </w:tc>
        <w:tc>
          <w:tcPr>
            <w:tcW w:w="2835" w:type="dxa"/>
            <w:vAlign w:val="center"/>
          </w:tcPr>
          <w:p>
            <w:pPr>
              <w:pStyle w:val="29"/>
            </w:pPr>
            <w:r>
              <w:rPr>
                <w:rFonts w:hint="eastAsia"/>
              </w:rPr>
              <w:t>绩效指标描述</w:t>
            </w:r>
          </w:p>
        </w:tc>
        <w:tc>
          <w:tcPr>
            <w:tcW w:w="2551" w:type="dxa"/>
            <w:vAlign w:val="center"/>
          </w:tcPr>
          <w:p>
            <w:pPr>
              <w:pStyle w:val="29"/>
            </w:pPr>
            <w:r>
              <w:rPr>
                <w:rFonts w:hint="eastAsia"/>
              </w:rPr>
              <w:t>指标值</w:t>
            </w:r>
          </w:p>
        </w:tc>
        <w:tc>
          <w:tcPr>
            <w:tcW w:w="2268" w:type="dxa"/>
            <w:vAlign w:val="center"/>
          </w:tcPr>
          <w:p>
            <w:pPr>
              <w:pStyle w:val="29"/>
            </w:pPr>
            <w:r>
              <w:rPr>
                <w:rFonts w:hint="eastAsia"/>
              </w:rPr>
              <w:t>指标值确定依据</w:t>
            </w:r>
          </w:p>
        </w:tc>
      </w:tr>
      <w:tr>
        <w:trPr>
          <w:trHeight w:val="397" w:hRule="atLeast"/>
          <w:jc w:val="center"/>
        </w:trPr>
        <w:tc>
          <w:tcPr>
            <w:tcW w:w="1417" w:type="dxa"/>
            <w:vMerge w:val="restart"/>
            <w:vAlign w:val="center"/>
          </w:tcPr>
          <w:p>
            <w:pPr>
              <w:pStyle w:val="31"/>
            </w:pPr>
            <w:r>
              <w:rPr>
                <w:rFonts w:hint="eastAsia"/>
              </w:rPr>
              <w:t>产出指标</w:t>
            </w:r>
          </w:p>
        </w:tc>
        <w:tc>
          <w:tcPr>
            <w:tcW w:w="2268" w:type="dxa"/>
            <w:vAlign w:val="center"/>
          </w:tcPr>
          <w:p>
            <w:pPr>
              <w:pStyle w:val="30"/>
            </w:pPr>
            <w:r>
              <w:rPr>
                <w:rFonts w:hint="eastAsia"/>
              </w:rPr>
              <w:t>数量指标</w:t>
            </w:r>
          </w:p>
        </w:tc>
        <w:tc>
          <w:tcPr>
            <w:tcW w:w="2835" w:type="dxa"/>
            <w:vAlign w:val="center"/>
          </w:tcPr>
          <w:p>
            <w:pPr>
              <w:pStyle w:val="30"/>
            </w:pPr>
            <w:r>
              <w:rPr>
                <w:rFonts w:hint="eastAsia"/>
              </w:rPr>
              <w:t>开展活动数量</w:t>
            </w:r>
          </w:p>
        </w:tc>
        <w:tc>
          <w:tcPr>
            <w:tcW w:w="2835" w:type="dxa"/>
            <w:vAlign w:val="center"/>
          </w:tcPr>
          <w:p>
            <w:pPr>
              <w:pStyle w:val="30"/>
            </w:pPr>
            <w:r>
              <w:rPr>
                <w:rFonts w:hint="eastAsia"/>
              </w:rPr>
              <w:t>年内开展调研、视察、执法检查各项活动数量</w:t>
            </w:r>
          </w:p>
        </w:tc>
        <w:tc>
          <w:tcPr>
            <w:tcW w:w="2551" w:type="dxa"/>
            <w:vAlign w:val="center"/>
          </w:tcPr>
          <w:p>
            <w:pPr>
              <w:pStyle w:val="30"/>
            </w:pPr>
            <w:r>
              <w:rPr>
                <w:rFonts w:hint="eastAsia"/>
              </w:rPr>
              <w:t>≥</w:t>
            </w:r>
            <w:r>
              <w:t>10</w:t>
            </w:r>
            <w:r>
              <w:rPr>
                <w:rFonts w:hint="eastAsia"/>
              </w:rPr>
              <w:t>项</w:t>
            </w:r>
          </w:p>
        </w:tc>
        <w:tc>
          <w:tcPr>
            <w:tcW w:w="2268" w:type="dxa"/>
            <w:vAlign w:val="center"/>
          </w:tcPr>
          <w:p>
            <w:pPr>
              <w:pStyle w:val="30"/>
            </w:pPr>
            <w:r>
              <w:rPr>
                <w:rFonts w:hint="eastAsia"/>
              </w:rPr>
              <w:t>代表法相关规定</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质量指标</w:t>
            </w:r>
          </w:p>
        </w:tc>
        <w:tc>
          <w:tcPr>
            <w:tcW w:w="2835" w:type="dxa"/>
            <w:vAlign w:val="center"/>
          </w:tcPr>
          <w:p>
            <w:pPr>
              <w:pStyle w:val="30"/>
            </w:pPr>
            <w:r>
              <w:rPr>
                <w:rFonts w:hint="eastAsia"/>
              </w:rPr>
              <w:t>合格率</w:t>
            </w:r>
          </w:p>
        </w:tc>
        <w:tc>
          <w:tcPr>
            <w:tcW w:w="2835" w:type="dxa"/>
            <w:vAlign w:val="center"/>
          </w:tcPr>
          <w:p>
            <w:pPr>
              <w:pStyle w:val="30"/>
            </w:pPr>
            <w:r>
              <w:rPr>
                <w:rFonts w:hint="eastAsia"/>
              </w:rPr>
              <w:t>代表之家建设达到市人大要求的合格个数占总数的比值</w:t>
            </w:r>
          </w:p>
        </w:tc>
        <w:tc>
          <w:tcPr>
            <w:tcW w:w="2551" w:type="dxa"/>
            <w:vAlign w:val="center"/>
          </w:tcPr>
          <w:p>
            <w:pPr>
              <w:pStyle w:val="30"/>
            </w:pPr>
            <w:r>
              <w:rPr>
                <w:rFonts w:hint="eastAsia"/>
              </w:rPr>
              <w:t>≥</w:t>
            </w:r>
            <w:r>
              <w:t>95</w:t>
            </w:r>
            <w:r>
              <w:rPr>
                <w:rFonts w:hint="eastAsia"/>
              </w:rPr>
              <w:t>百分比</w:t>
            </w:r>
          </w:p>
        </w:tc>
        <w:tc>
          <w:tcPr>
            <w:tcW w:w="2268" w:type="dxa"/>
            <w:vAlign w:val="center"/>
          </w:tcPr>
          <w:p>
            <w:pPr>
              <w:pStyle w:val="30"/>
            </w:pPr>
            <w:r>
              <w:rPr>
                <w:rFonts w:hint="eastAsia"/>
              </w:rPr>
              <w:t>市人大关于代表之家建设相关规定</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时效指标</w:t>
            </w:r>
          </w:p>
        </w:tc>
        <w:tc>
          <w:tcPr>
            <w:tcW w:w="2835" w:type="dxa"/>
            <w:vAlign w:val="center"/>
          </w:tcPr>
          <w:p>
            <w:pPr>
              <w:pStyle w:val="30"/>
            </w:pPr>
            <w:r>
              <w:rPr>
                <w:rFonts w:hint="eastAsia"/>
              </w:rPr>
              <w:t>工作完成及时性</w:t>
            </w:r>
          </w:p>
        </w:tc>
        <w:tc>
          <w:tcPr>
            <w:tcW w:w="2835" w:type="dxa"/>
            <w:vAlign w:val="center"/>
          </w:tcPr>
          <w:p>
            <w:pPr>
              <w:pStyle w:val="30"/>
            </w:pPr>
            <w:r>
              <w:rPr>
                <w:rFonts w:hint="eastAsia"/>
              </w:rPr>
              <w:t>反映工作是否在规定的时间内完成</w:t>
            </w:r>
          </w:p>
        </w:tc>
        <w:tc>
          <w:tcPr>
            <w:tcW w:w="2551" w:type="dxa"/>
            <w:vAlign w:val="center"/>
          </w:tcPr>
          <w:p>
            <w:pPr>
              <w:pStyle w:val="30"/>
            </w:pPr>
            <w:r>
              <w:t>100</w:t>
            </w:r>
            <w:r>
              <w:rPr>
                <w:rFonts w:hint="eastAsia"/>
              </w:rPr>
              <w:t>百分比</w:t>
            </w:r>
          </w:p>
        </w:tc>
        <w:tc>
          <w:tcPr>
            <w:tcW w:w="2268" w:type="dxa"/>
            <w:vAlign w:val="center"/>
          </w:tcPr>
          <w:p>
            <w:pPr>
              <w:pStyle w:val="30"/>
            </w:pPr>
            <w:r>
              <w:rPr>
                <w:rFonts w:hint="eastAsia"/>
              </w:rPr>
              <w:t>代表法相关规定、常委会工作计划</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成本指标</w:t>
            </w:r>
          </w:p>
        </w:tc>
        <w:tc>
          <w:tcPr>
            <w:tcW w:w="2835" w:type="dxa"/>
            <w:vAlign w:val="center"/>
          </w:tcPr>
          <w:p>
            <w:pPr>
              <w:pStyle w:val="30"/>
            </w:pPr>
            <w:r>
              <w:rPr>
                <w:rFonts w:hint="eastAsia"/>
              </w:rPr>
              <w:t>成本控制率</w:t>
            </w:r>
          </w:p>
        </w:tc>
        <w:tc>
          <w:tcPr>
            <w:tcW w:w="2835" w:type="dxa"/>
            <w:vAlign w:val="center"/>
          </w:tcPr>
          <w:p>
            <w:pPr>
              <w:pStyle w:val="30"/>
            </w:pPr>
            <w:r>
              <w:rPr>
                <w:rFonts w:hint="eastAsia"/>
              </w:rPr>
              <w:t>实际支出金额占预算金额的比率</w:t>
            </w:r>
          </w:p>
        </w:tc>
        <w:tc>
          <w:tcPr>
            <w:tcW w:w="2551" w:type="dxa"/>
            <w:vAlign w:val="center"/>
          </w:tcPr>
          <w:p>
            <w:pPr>
              <w:pStyle w:val="30"/>
            </w:pPr>
            <w:r>
              <w:rPr>
                <w:rFonts w:hint="eastAsia"/>
              </w:rPr>
              <w:t>≤</w:t>
            </w:r>
            <w:r>
              <w:t>100</w:t>
            </w:r>
            <w:r>
              <w:rPr>
                <w:rFonts w:hint="eastAsia"/>
              </w:rPr>
              <w:t>百分比</w:t>
            </w:r>
          </w:p>
        </w:tc>
        <w:tc>
          <w:tcPr>
            <w:tcW w:w="2268" w:type="dxa"/>
            <w:vAlign w:val="center"/>
          </w:tcPr>
          <w:p>
            <w:pPr>
              <w:pStyle w:val="30"/>
            </w:pPr>
            <w:r>
              <w:rPr>
                <w:rFonts w:hint="eastAsia"/>
              </w:rPr>
              <w:t>市人大关于代表之家建设相关规定</w:t>
            </w:r>
          </w:p>
        </w:tc>
      </w:tr>
      <w:tr>
        <w:trPr>
          <w:trHeight w:val="397" w:hRule="atLeast"/>
          <w:jc w:val="center"/>
        </w:trPr>
        <w:tc>
          <w:tcPr>
            <w:tcW w:w="1417" w:type="dxa"/>
            <w:vAlign w:val="center"/>
          </w:tcPr>
          <w:p>
            <w:pPr>
              <w:pStyle w:val="31"/>
            </w:pPr>
            <w:r>
              <w:rPr>
                <w:rFonts w:hint="eastAsia"/>
              </w:rPr>
              <w:t>效益指标</w:t>
            </w:r>
          </w:p>
        </w:tc>
        <w:tc>
          <w:tcPr>
            <w:tcW w:w="2268" w:type="dxa"/>
            <w:vAlign w:val="center"/>
          </w:tcPr>
          <w:p>
            <w:pPr>
              <w:pStyle w:val="30"/>
            </w:pPr>
            <w:r>
              <w:rPr>
                <w:rFonts w:hint="eastAsia"/>
              </w:rPr>
              <w:t>社会效益指标</w:t>
            </w:r>
          </w:p>
        </w:tc>
        <w:tc>
          <w:tcPr>
            <w:tcW w:w="2835" w:type="dxa"/>
            <w:vAlign w:val="center"/>
          </w:tcPr>
          <w:p>
            <w:pPr>
              <w:pStyle w:val="30"/>
            </w:pPr>
            <w:r>
              <w:rPr>
                <w:rFonts w:hint="eastAsia"/>
              </w:rPr>
              <w:t>社会满意率</w:t>
            </w:r>
          </w:p>
        </w:tc>
        <w:tc>
          <w:tcPr>
            <w:tcW w:w="2835" w:type="dxa"/>
            <w:vAlign w:val="center"/>
          </w:tcPr>
          <w:p>
            <w:pPr>
              <w:pStyle w:val="30"/>
            </w:pPr>
            <w:r>
              <w:rPr>
                <w:rFonts w:hint="eastAsia"/>
              </w:rPr>
              <w:t>开展活动满意率占群众和代表测评总数的比值</w:t>
            </w:r>
          </w:p>
        </w:tc>
        <w:tc>
          <w:tcPr>
            <w:tcW w:w="2551" w:type="dxa"/>
            <w:vAlign w:val="center"/>
          </w:tcPr>
          <w:p>
            <w:pPr>
              <w:pStyle w:val="30"/>
            </w:pPr>
            <w:r>
              <w:rPr>
                <w:rFonts w:hint="eastAsia"/>
              </w:rPr>
              <w:t>≥</w:t>
            </w:r>
            <w:r>
              <w:t>95</w:t>
            </w:r>
            <w:r>
              <w:rPr>
                <w:rFonts w:hint="eastAsia"/>
              </w:rPr>
              <w:t>百分比</w:t>
            </w:r>
          </w:p>
        </w:tc>
        <w:tc>
          <w:tcPr>
            <w:tcW w:w="2268" w:type="dxa"/>
            <w:vAlign w:val="center"/>
          </w:tcPr>
          <w:p>
            <w:pPr>
              <w:pStyle w:val="30"/>
            </w:pPr>
            <w:r>
              <w:rPr>
                <w:rFonts w:hint="eastAsia"/>
              </w:rPr>
              <w:t>代表法相关规定</w:t>
            </w:r>
          </w:p>
        </w:tc>
      </w:tr>
    </w:tbl>
    <w:p>
      <w:pPr>
        <w:pStyle w:val="28"/>
        <w:rPr>
          <w:rFonts w:ascii="方正仿宋_GBK" w:eastAsia="方正仿宋_GBK" w:cs="方正仿宋_GBK"/>
          <w:b/>
          <w:color w:val="000000"/>
          <w:sz w:val="28"/>
          <w:lang w:eastAsia="zh-CN"/>
        </w:rPr>
      </w:pPr>
    </w:p>
    <w:p>
      <w:pPr>
        <w:pStyle w:val="28"/>
        <w:ind w:firstLine="560"/>
        <w:rPr>
          <w:rFonts w:ascii="方正仿宋_GBK" w:eastAsia="方正仿宋_GBK" w:cs="方正仿宋_GBK"/>
          <w:b/>
          <w:color w:val="000000"/>
          <w:sz w:val="28"/>
          <w:lang w:eastAsia="zh-CN"/>
        </w:rPr>
      </w:pPr>
    </w:p>
    <w:p>
      <w:pPr>
        <w:pStyle w:val="28"/>
        <w:ind w:firstLine="560"/>
        <w:rPr>
          <w:rFonts w:ascii="方正仿宋_GBK" w:eastAsia="方正仿宋_GBK" w:cs="方正仿宋_GBK"/>
          <w:b/>
          <w:color w:val="000000"/>
          <w:sz w:val="28"/>
          <w:lang w:eastAsia="zh-CN"/>
        </w:rPr>
      </w:pPr>
    </w:p>
    <w:p>
      <w:pPr>
        <w:pStyle w:val="28"/>
        <w:ind w:firstLine="560"/>
        <w:rPr>
          <w:rFonts w:ascii="方正仿宋_GBK" w:eastAsia="方正仿宋_GBK" w:cs="方正仿宋_GBK"/>
          <w:b/>
          <w:color w:val="000000"/>
          <w:sz w:val="28"/>
          <w:lang w:eastAsia="zh-CN"/>
        </w:rPr>
      </w:pPr>
    </w:p>
    <w:p>
      <w:pPr>
        <w:pStyle w:val="28"/>
        <w:ind w:firstLine="560"/>
      </w:pPr>
      <w:r>
        <w:rPr>
          <w:rFonts w:ascii="方正仿宋_GBK" w:eastAsia="方正仿宋_GBK" w:cs="方正仿宋_GBK"/>
          <w:b/>
          <w:color w:val="000000"/>
          <w:sz w:val="28"/>
        </w:rPr>
        <w:t>2</w:t>
      </w:r>
      <w:r>
        <w:rPr>
          <w:rFonts w:hint="eastAsia" w:ascii="方正仿宋_GBK" w:eastAsia="方正仿宋_GBK" w:cs="方正仿宋_GBK"/>
          <w:b/>
          <w:color w:val="000000"/>
          <w:sz w:val="28"/>
        </w:rPr>
        <w:t>、高阳县人大会议绩效目标表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29"/>
            </w:pPr>
            <w:r>
              <w:rPr>
                <w:rFonts w:hint="eastAsia"/>
              </w:rPr>
              <w:t>绩效目标</w:t>
            </w:r>
          </w:p>
        </w:tc>
        <w:tc>
          <w:tcPr>
            <w:tcW w:w="12756" w:type="dxa"/>
            <w:tcBorders>
              <w:top w:val="single" w:color="000000" w:sz="6" w:space="0"/>
              <w:bottom w:val="single" w:color="FFFFFF" w:sz="6" w:space="0"/>
            </w:tcBorders>
            <w:vAlign w:val="center"/>
          </w:tcPr>
          <w:p>
            <w:pPr>
              <w:pStyle w:val="30"/>
              <w:rPr>
                <w:lang w:eastAsia="zh-CN"/>
              </w:rPr>
            </w:pPr>
            <w:r>
              <w:rPr>
                <w:lang w:eastAsia="zh-CN"/>
              </w:rPr>
              <w:t>1</w:t>
            </w:r>
            <w:r>
              <w:rPr>
                <w:rFonts w:hint="eastAsia"/>
                <w:lang w:eastAsia="zh-CN"/>
              </w:rPr>
              <w:t>、</w:t>
            </w:r>
            <w:r>
              <w:rPr>
                <w:lang w:eastAsia="zh-CN"/>
              </w:rPr>
              <w:t>2021</w:t>
            </w:r>
            <w:r>
              <w:rPr>
                <w:rFonts w:hint="eastAsia"/>
                <w:lang w:eastAsia="zh-CN"/>
              </w:rPr>
              <w:t>年</w:t>
            </w:r>
            <w:r>
              <w:rPr>
                <w:lang w:eastAsia="zh-CN"/>
              </w:rPr>
              <w:t>12</w:t>
            </w:r>
            <w:r>
              <w:rPr>
                <w:rFonts w:hint="eastAsia"/>
                <w:lang w:eastAsia="zh-CN"/>
              </w:rPr>
              <w:t>月完成会前视察</w:t>
            </w:r>
            <w:r>
              <w:rPr>
                <w:lang w:eastAsia="zh-CN"/>
              </w:rPr>
              <w:t>1</w:t>
            </w:r>
            <w:r>
              <w:rPr>
                <w:rFonts w:hint="eastAsia"/>
                <w:lang w:eastAsia="zh-CN"/>
              </w:rPr>
              <w:t>次，</w:t>
            </w:r>
            <w:r>
              <w:rPr>
                <w:lang w:eastAsia="zh-CN"/>
              </w:rPr>
              <w:t>2022</w:t>
            </w:r>
            <w:r>
              <w:rPr>
                <w:rFonts w:hint="eastAsia"/>
                <w:lang w:eastAsia="zh-CN"/>
              </w:rPr>
              <w:t>年</w:t>
            </w:r>
            <w:r>
              <w:rPr>
                <w:lang w:eastAsia="zh-CN"/>
              </w:rPr>
              <w:t>1</w:t>
            </w:r>
            <w:r>
              <w:rPr>
                <w:rFonts w:hint="eastAsia"/>
                <w:lang w:eastAsia="zh-CN"/>
              </w:rPr>
              <w:t>月初完成会议资料的起草、校对、印刷；</w:t>
            </w:r>
          </w:p>
          <w:p>
            <w:pPr>
              <w:pStyle w:val="30"/>
              <w:rPr>
                <w:lang w:eastAsia="zh-CN"/>
              </w:rPr>
            </w:pPr>
            <w:r>
              <w:rPr>
                <w:lang w:eastAsia="zh-CN"/>
              </w:rPr>
              <w:t>2</w:t>
            </w:r>
            <w:r>
              <w:rPr>
                <w:rFonts w:hint="eastAsia"/>
                <w:lang w:eastAsia="zh-CN"/>
              </w:rPr>
              <w:t>、</w:t>
            </w:r>
            <w:r>
              <w:rPr>
                <w:lang w:eastAsia="zh-CN"/>
              </w:rPr>
              <w:t>2022</w:t>
            </w:r>
            <w:r>
              <w:rPr>
                <w:rFonts w:hint="eastAsia"/>
                <w:lang w:eastAsia="zh-CN"/>
              </w:rPr>
              <w:t>年</w:t>
            </w:r>
            <w:r>
              <w:rPr>
                <w:lang w:eastAsia="zh-CN"/>
              </w:rPr>
              <w:t>1</w:t>
            </w:r>
            <w:r>
              <w:rPr>
                <w:rFonts w:hint="eastAsia"/>
                <w:lang w:eastAsia="zh-CN"/>
              </w:rPr>
              <w:t>月召开常委会会议，</w:t>
            </w:r>
            <w:r>
              <w:rPr>
                <w:lang w:eastAsia="zh-CN"/>
              </w:rPr>
              <w:t>2</w:t>
            </w:r>
            <w:r>
              <w:rPr>
                <w:rFonts w:hint="eastAsia"/>
                <w:lang w:eastAsia="zh-CN"/>
              </w:rPr>
              <w:t>月初布置会场，做好会议筹备工作，</w:t>
            </w:r>
            <w:r>
              <w:rPr>
                <w:lang w:eastAsia="zh-CN"/>
              </w:rPr>
              <w:t>2</w:t>
            </w:r>
            <w:r>
              <w:rPr>
                <w:rFonts w:hint="eastAsia"/>
                <w:lang w:eastAsia="zh-CN"/>
              </w:rPr>
              <w:t>月中旬召开会议，圆满完成会议各项议题。</w:t>
            </w:r>
          </w:p>
        </w:tc>
      </w:tr>
    </w:tbl>
    <w:p>
      <w:pPr>
        <w:pStyle w:val="28"/>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29"/>
            </w:pPr>
            <w:r>
              <w:rPr>
                <w:rFonts w:hint="eastAsia"/>
              </w:rPr>
              <w:t>一级指标</w:t>
            </w:r>
          </w:p>
        </w:tc>
        <w:tc>
          <w:tcPr>
            <w:tcW w:w="2268" w:type="dxa"/>
            <w:vAlign w:val="center"/>
          </w:tcPr>
          <w:p>
            <w:pPr>
              <w:pStyle w:val="29"/>
            </w:pPr>
            <w:r>
              <w:rPr>
                <w:rFonts w:hint="eastAsia"/>
              </w:rPr>
              <w:t>二级指标</w:t>
            </w:r>
          </w:p>
        </w:tc>
        <w:tc>
          <w:tcPr>
            <w:tcW w:w="2835" w:type="dxa"/>
            <w:vAlign w:val="center"/>
          </w:tcPr>
          <w:p>
            <w:pPr>
              <w:pStyle w:val="29"/>
            </w:pPr>
            <w:r>
              <w:rPr>
                <w:rFonts w:hint="eastAsia"/>
              </w:rPr>
              <w:t>三级指标</w:t>
            </w:r>
          </w:p>
        </w:tc>
        <w:tc>
          <w:tcPr>
            <w:tcW w:w="2835" w:type="dxa"/>
            <w:vAlign w:val="center"/>
          </w:tcPr>
          <w:p>
            <w:pPr>
              <w:pStyle w:val="29"/>
            </w:pPr>
            <w:r>
              <w:rPr>
                <w:rFonts w:hint="eastAsia"/>
              </w:rPr>
              <w:t>绩效指标描述</w:t>
            </w:r>
          </w:p>
        </w:tc>
        <w:tc>
          <w:tcPr>
            <w:tcW w:w="2551" w:type="dxa"/>
            <w:vAlign w:val="center"/>
          </w:tcPr>
          <w:p>
            <w:pPr>
              <w:pStyle w:val="29"/>
            </w:pPr>
            <w:r>
              <w:rPr>
                <w:rFonts w:hint="eastAsia"/>
              </w:rPr>
              <w:t>指标值</w:t>
            </w:r>
          </w:p>
        </w:tc>
        <w:tc>
          <w:tcPr>
            <w:tcW w:w="2268" w:type="dxa"/>
            <w:vAlign w:val="center"/>
          </w:tcPr>
          <w:p>
            <w:pPr>
              <w:pStyle w:val="29"/>
            </w:pPr>
            <w:r>
              <w:rPr>
                <w:rFonts w:hint="eastAsia"/>
              </w:rPr>
              <w:t>指标值确定依据</w:t>
            </w:r>
          </w:p>
        </w:tc>
      </w:tr>
      <w:tr>
        <w:trPr>
          <w:trHeight w:val="397" w:hRule="atLeast"/>
          <w:jc w:val="center"/>
        </w:trPr>
        <w:tc>
          <w:tcPr>
            <w:tcW w:w="1417" w:type="dxa"/>
            <w:vMerge w:val="restart"/>
            <w:vAlign w:val="center"/>
          </w:tcPr>
          <w:p>
            <w:pPr>
              <w:pStyle w:val="31"/>
            </w:pPr>
            <w:r>
              <w:rPr>
                <w:rFonts w:hint="eastAsia"/>
              </w:rPr>
              <w:t>产出指标</w:t>
            </w:r>
          </w:p>
        </w:tc>
        <w:tc>
          <w:tcPr>
            <w:tcW w:w="2268" w:type="dxa"/>
            <w:vAlign w:val="center"/>
          </w:tcPr>
          <w:p>
            <w:pPr>
              <w:pStyle w:val="30"/>
            </w:pPr>
            <w:r>
              <w:rPr>
                <w:rFonts w:hint="eastAsia"/>
              </w:rPr>
              <w:t>数量指标</w:t>
            </w:r>
          </w:p>
        </w:tc>
        <w:tc>
          <w:tcPr>
            <w:tcW w:w="2835" w:type="dxa"/>
            <w:vAlign w:val="center"/>
          </w:tcPr>
          <w:p>
            <w:pPr>
              <w:pStyle w:val="30"/>
            </w:pPr>
            <w:r>
              <w:rPr>
                <w:rFonts w:hint="eastAsia"/>
              </w:rPr>
              <w:t>完成数量</w:t>
            </w:r>
          </w:p>
        </w:tc>
        <w:tc>
          <w:tcPr>
            <w:tcW w:w="2835" w:type="dxa"/>
            <w:vAlign w:val="center"/>
          </w:tcPr>
          <w:p>
            <w:pPr>
              <w:pStyle w:val="30"/>
            </w:pPr>
            <w:r>
              <w:rPr>
                <w:rFonts w:hint="eastAsia"/>
              </w:rPr>
              <w:t>完成会前视察</w:t>
            </w:r>
            <w:r>
              <w:t>1</w:t>
            </w:r>
            <w:r>
              <w:rPr>
                <w:rFonts w:hint="eastAsia"/>
              </w:rPr>
              <w:t>次，提出意见、批评和建议</w:t>
            </w:r>
            <w:r>
              <w:t>15</w:t>
            </w:r>
            <w:r>
              <w:rPr>
                <w:rFonts w:hint="eastAsia"/>
              </w:rPr>
              <w:t>条</w:t>
            </w:r>
          </w:p>
        </w:tc>
        <w:tc>
          <w:tcPr>
            <w:tcW w:w="2551" w:type="dxa"/>
            <w:vAlign w:val="center"/>
          </w:tcPr>
          <w:p>
            <w:pPr>
              <w:pStyle w:val="30"/>
            </w:pPr>
            <w:r>
              <w:rPr>
                <w:rFonts w:hint="eastAsia"/>
              </w:rPr>
              <w:t>≥</w:t>
            </w:r>
            <w:r>
              <w:t>16</w:t>
            </w:r>
            <w:r>
              <w:rPr>
                <w:rFonts w:hint="eastAsia"/>
              </w:rPr>
              <w:t>条</w:t>
            </w:r>
            <w:r>
              <w:t>/</w:t>
            </w:r>
            <w:r>
              <w:rPr>
                <w:rFonts w:hint="eastAsia"/>
              </w:rPr>
              <w:t>次</w:t>
            </w:r>
          </w:p>
        </w:tc>
        <w:tc>
          <w:tcPr>
            <w:tcW w:w="2268" w:type="dxa"/>
            <w:vAlign w:val="center"/>
          </w:tcPr>
          <w:p>
            <w:pPr>
              <w:pStyle w:val="30"/>
            </w:pPr>
            <w:r>
              <w:rPr>
                <w:rFonts w:hint="eastAsia"/>
              </w:rPr>
              <w:t>代表履职手册相关规定</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质量指标</w:t>
            </w:r>
          </w:p>
        </w:tc>
        <w:tc>
          <w:tcPr>
            <w:tcW w:w="2835" w:type="dxa"/>
            <w:vAlign w:val="center"/>
          </w:tcPr>
          <w:p>
            <w:pPr>
              <w:pStyle w:val="30"/>
            </w:pPr>
            <w:r>
              <w:rPr>
                <w:rFonts w:hint="eastAsia"/>
              </w:rPr>
              <w:t>会议议题完成率</w:t>
            </w:r>
          </w:p>
        </w:tc>
        <w:tc>
          <w:tcPr>
            <w:tcW w:w="2835" w:type="dxa"/>
            <w:vAlign w:val="center"/>
          </w:tcPr>
          <w:p>
            <w:pPr>
              <w:pStyle w:val="30"/>
            </w:pPr>
            <w:r>
              <w:rPr>
                <w:rFonts w:hint="eastAsia"/>
              </w:rPr>
              <w:t>常委会确定各项议题完成率占预期比值</w:t>
            </w:r>
          </w:p>
        </w:tc>
        <w:tc>
          <w:tcPr>
            <w:tcW w:w="2551" w:type="dxa"/>
            <w:vAlign w:val="center"/>
          </w:tcPr>
          <w:p>
            <w:pPr>
              <w:pStyle w:val="30"/>
            </w:pPr>
            <w:r>
              <w:rPr>
                <w:rFonts w:hint="eastAsia"/>
              </w:rPr>
              <w:t>≥</w:t>
            </w:r>
            <w:r>
              <w:t>95</w:t>
            </w:r>
            <w:r>
              <w:rPr>
                <w:rFonts w:hint="eastAsia"/>
              </w:rPr>
              <w:t>百分比</w:t>
            </w:r>
          </w:p>
        </w:tc>
        <w:tc>
          <w:tcPr>
            <w:tcW w:w="2268" w:type="dxa"/>
            <w:vAlign w:val="center"/>
          </w:tcPr>
          <w:p>
            <w:pPr>
              <w:pStyle w:val="30"/>
            </w:pPr>
            <w:r>
              <w:rPr>
                <w:rFonts w:hint="eastAsia"/>
              </w:rPr>
              <w:t>组织法相关规定</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时效指标</w:t>
            </w:r>
          </w:p>
        </w:tc>
        <w:tc>
          <w:tcPr>
            <w:tcW w:w="2835" w:type="dxa"/>
            <w:vAlign w:val="center"/>
          </w:tcPr>
          <w:p>
            <w:pPr>
              <w:pStyle w:val="30"/>
            </w:pPr>
            <w:r>
              <w:rPr>
                <w:rFonts w:hint="eastAsia"/>
              </w:rPr>
              <w:t>工作完成及时性</w:t>
            </w:r>
          </w:p>
        </w:tc>
        <w:tc>
          <w:tcPr>
            <w:tcW w:w="2835" w:type="dxa"/>
            <w:vAlign w:val="center"/>
          </w:tcPr>
          <w:p>
            <w:pPr>
              <w:pStyle w:val="30"/>
            </w:pPr>
            <w:r>
              <w:rPr>
                <w:rFonts w:hint="eastAsia"/>
              </w:rPr>
              <w:t>反映工作是否在规定时间内完成</w:t>
            </w:r>
          </w:p>
        </w:tc>
        <w:tc>
          <w:tcPr>
            <w:tcW w:w="2551" w:type="dxa"/>
            <w:vAlign w:val="center"/>
          </w:tcPr>
          <w:p>
            <w:pPr>
              <w:pStyle w:val="30"/>
            </w:pPr>
            <w:r>
              <w:t>100</w:t>
            </w:r>
            <w:r>
              <w:rPr>
                <w:rFonts w:hint="eastAsia"/>
              </w:rPr>
              <w:t>百分比</w:t>
            </w:r>
          </w:p>
        </w:tc>
        <w:tc>
          <w:tcPr>
            <w:tcW w:w="2268" w:type="dxa"/>
            <w:vAlign w:val="center"/>
          </w:tcPr>
          <w:p>
            <w:pPr>
              <w:pStyle w:val="30"/>
            </w:pPr>
            <w:r>
              <w:rPr>
                <w:rFonts w:hint="eastAsia"/>
              </w:rPr>
              <w:t>组织法相关规定</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成本指标</w:t>
            </w:r>
          </w:p>
        </w:tc>
        <w:tc>
          <w:tcPr>
            <w:tcW w:w="2835" w:type="dxa"/>
            <w:vAlign w:val="center"/>
          </w:tcPr>
          <w:p>
            <w:pPr>
              <w:pStyle w:val="30"/>
            </w:pPr>
            <w:r>
              <w:rPr>
                <w:rFonts w:hint="eastAsia"/>
              </w:rPr>
              <w:t>成本控制率</w:t>
            </w:r>
          </w:p>
        </w:tc>
        <w:tc>
          <w:tcPr>
            <w:tcW w:w="2835" w:type="dxa"/>
            <w:vAlign w:val="center"/>
          </w:tcPr>
          <w:p>
            <w:pPr>
              <w:pStyle w:val="30"/>
            </w:pPr>
            <w:r>
              <w:rPr>
                <w:rFonts w:hint="eastAsia"/>
              </w:rPr>
              <w:t>实际支出金额占预算金额的比例</w:t>
            </w:r>
          </w:p>
        </w:tc>
        <w:tc>
          <w:tcPr>
            <w:tcW w:w="2551" w:type="dxa"/>
            <w:vAlign w:val="center"/>
          </w:tcPr>
          <w:p>
            <w:pPr>
              <w:pStyle w:val="30"/>
            </w:pPr>
            <w:r>
              <w:rPr>
                <w:rFonts w:hint="eastAsia"/>
              </w:rPr>
              <w:t>≤</w:t>
            </w:r>
            <w:r>
              <w:t>100</w:t>
            </w:r>
            <w:r>
              <w:rPr>
                <w:rFonts w:hint="eastAsia"/>
              </w:rPr>
              <w:t>百分比</w:t>
            </w:r>
          </w:p>
        </w:tc>
        <w:tc>
          <w:tcPr>
            <w:tcW w:w="2268" w:type="dxa"/>
            <w:vAlign w:val="center"/>
          </w:tcPr>
          <w:p>
            <w:pPr>
              <w:pStyle w:val="30"/>
            </w:pPr>
            <w:r>
              <w:rPr>
                <w:rFonts w:hint="eastAsia"/>
              </w:rPr>
              <w:t>组织法相关规定</w:t>
            </w:r>
          </w:p>
        </w:tc>
      </w:tr>
      <w:tr>
        <w:trPr>
          <w:trHeight w:val="397" w:hRule="atLeast"/>
          <w:jc w:val="center"/>
        </w:trPr>
        <w:tc>
          <w:tcPr>
            <w:tcW w:w="1417" w:type="dxa"/>
            <w:vAlign w:val="center"/>
          </w:tcPr>
          <w:p>
            <w:pPr>
              <w:pStyle w:val="31"/>
            </w:pPr>
            <w:r>
              <w:rPr>
                <w:rFonts w:hint="eastAsia"/>
              </w:rPr>
              <w:t>效益指标</w:t>
            </w:r>
          </w:p>
        </w:tc>
        <w:tc>
          <w:tcPr>
            <w:tcW w:w="2268" w:type="dxa"/>
            <w:vAlign w:val="center"/>
          </w:tcPr>
          <w:p>
            <w:pPr>
              <w:pStyle w:val="30"/>
            </w:pPr>
            <w:r>
              <w:rPr>
                <w:rFonts w:hint="eastAsia"/>
              </w:rPr>
              <w:t>社会效益指标</w:t>
            </w:r>
          </w:p>
        </w:tc>
        <w:tc>
          <w:tcPr>
            <w:tcW w:w="2835" w:type="dxa"/>
            <w:vAlign w:val="center"/>
          </w:tcPr>
          <w:p>
            <w:pPr>
              <w:pStyle w:val="30"/>
            </w:pPr>
            <w:r>
              <w:rPr>
                <w:rFonts w:hint="eastAsia"/>
              </w:rPr>
              <w:t>办公任务开展持续性</w:t>
            </w:r>
          </w:p>
        </w:tc>
        <w:tc>
          <w:tcPr>
            <w:tcW w:w="2835" w:type="dxa"/>
            <w:vAlign w:val="center"/>
          </w:tcPr>
          <w:p>
            <w:pPr>
              <w:pStyle w:val="30"/>
            </w:pPr>
            <w:r>
              <w:rPr>
                <w:rFonts w:hint="eastAsia"/>
              </w:rPr>
              <w:t>反映办公任务是否正常持续开展</w:t>
            </w:r>
          </w:p>
        </w:tc>
        <w:tc>
          <w:tcPr>
            <w:tcW w:w="2551" w:type="dxa"/>
            <w:vAlign w:val="center"/>
          </w:tcPr>
          <w:p>
            <w:pPr>
              <w:pStyle w:val="30"/>
            </w:pPr>
            <w:r>
              <w:t>100</w:t>
            </w:r>
            <w:r>
              <w:rPr>
                <w:rFonts w:hint="eastAsia"/>
              </w:rPr>
              <w:t>百分比</w:t>
            </w:r>
          </w:p>
        </w:tc>
        <w:tc>
          <w:tcPr>
            <w:tcW w:w="2268" w:type="dxa"/>
            <w:vAlign w:val="center"/>
          </w:tcPr>
          <w:p>
            <w:pPr>
              <w:pStyle w:val="30"/>
            </w:pPr>
            <w:r>
              <w:rPr>
                <w:rFonts w:hint="eastAsia"/>
              </w:rPr>
              <w:t>组织法相关规定</w:t>
            </w:r>
          </w:p>
        </w:tc>
      </w:tr>
    </w:tbl>
    <w:p>
      <w:pPr>
        <w:pStyle w:val="28"/>
      </w:pPr>
    </w:p>
    <w:p>
      <w:pPr>
        <w:pStyle w:val="28"/>
        <w:ind w:firstLine="560"/>
      </w:pPr>
      <w:r>
        <w:rPr>
          <w:rFonts w:ascii="方正仿宋_GBK" w:eastAsia="方正仿宋_GBK" w:cs="方正仿宋_GBK"/>
          <w:b/>
          <w:color w:val="000000"/>
          <w:sz w:val="28"/>
        </w:rPr>
        <w:t>3</w:t>
      </w:r>
      <w:r>
        <w:rPr>
          <w:rFonts w:hint="eastAsia" w:ascii="方正仿宋_GBK" w:eastAsia="方正仿宋_GBK" w:cs="方正仿宋_GBK"/>
          <w:b/>
          <w:color w:val="000000"/>
          <w:sz w:val="28"/>
        </w:rPr>
        <w:t>、高阳县人大监督绩效目标表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29"/>
            </w:pPr>
            <w:r>
              <w:rPr>
                <w:rFonts w:hint="eastAsia"/>
              </w:rPr>
              <w:t>绩效目标</w:t>
            </w:r>
          </w:p>
        </w:tc>
        <w:tc>
          <w:tcPr>
            <w:tcW w:w="12756" w:type="dxa"/>
            <w:tcBorders>
              <w:top w:val="single" w:color="000000" w:sz="6" w:space="0"/>
              <w:bottom w:val="single" w:color="FFFFFF" w:sz="6" w:space="0"/>
            </w:tcBorders>
            <w:vAlign w:val="center"/>
          </w:tcPr>
          <w:p>
            <w:pPr>
              <w:pStyle w:val="30"/>
              <w:numPr>
                <w:ilvl w:val="0"/>
                <w:numId w:val="2"/>
              </w:numPr>
              <w:rPr>
                <w:lang w:eastAsia="zh-CN"/>
              </w:rPr>
            </w:pPr>
            <w:r>
              <w:rPr>
                <w:rFonts w:hint="eastAsia"/>
                <w:lang w:eastAsia="zh-CN"/>
              </w:rPr>
              <w:t>听取和审议“一府两院”专项工作报告</w:t>
            </w:r>
            <w:r>
              <w:rPr>
                <w:lang w:eastAsia="zh-CN"/>
              </w:rPr>
              <w:t>3</w:t>
            </w:r>
            <w:r>
              <w:rPr>
                <w:rFonts w:hint="eastAsia"/>
                <w:lang w:eastAsia="zh-CN"/>
              </w:rPr>
              <w:t>项；</w:t>
            </w:r>
          </w:p>
          <w:p>
            <w:pPr>
              <w:pStyle w:val="30"/>
              <w:numPr>
                <w:ilvl w:val="0"/>
                <w:numId w:val="2"/>
              </w:numPr>
              <w:rPr>
                <w:lang w:eastAsia="zh-CN"/>
              </w:rPr>
            </w:pPr>
            <w:r>
              <w:rPr>
                <w:rFonts w:hint="eastAsia"/>
                <w:lang w:eastAsia="zh-CN"/>
              </w:rPr>
              <w:t>开展视察、调研、执法检查</w:t>
            </w:r>
            <w:r>
              <w:rPr>
                <w:lang w:eastAsia="zh-CN"/>
              </w:rPr>
              <w:t>8</w:t>
            </w:r>
            <w:r>
              <w:rPr>
                <w:rFonts w:hint="eastAsia"/>
                <w:lang w:eastAsia="zh-CN"/>
              </w:rPr>
              <w:t>项。</w:t>
            </w:r>
          </w:p>
        </w:tc>
      </w:tr>
    </w:tbl>
    <w:p>
      <w:pPr>
        <w:pStyle w:val="28"/>
        <w:spacing w:line="2" w:lineRule="exact"/>
        <w:jc w:val="center"/>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29"/>
            </w:pPr>
            <w:r>
              <w:rPr>
                <w:rFonts w:hint="eastAsia"/>
              </w:rPr>
              <w:t>一级指标</w:t>
            </w:r>
          </w:p>
        </w:tc>
        <w:tc>
          <w:tcPr>
            <w:tcW w:w="2268" w:type="dxa"/>
            <w:vAlign w:val="center"/>
          </w:tcPr>
          <w:p>
            <w:pPr>
              <w:pStyle w:val="29"/>
            </w:pPr>
            <w:r>
              <w:rPr>
                <w:rFonts w:hint="eastAsia"/>
              </w:rPr>
              <w:t>二级指标</w:t>
            </w:r>
          </w:p>
        </w:tc>
        <w:tc>
          <w:tcPr>
            <w:tcW w:w="2835" w:type="dxa"/>
            <w:vAlign w:val="center"/>
          </w:tcPr>
          <w:p>
            <w:pPr>
              <w:pStyle w:val="29"/>
            </w:pPr>
            <w:r>
              <w:rPr>
                <w:rFonts w:hint="eastAsia"/>
              </w:rPr>
              <w:t>三级指标</w:t>
            </w:r>
          </w:p>
        </w:tc>
        <w:tc>
          <w:tcPr>
            <w:tcW w:w="2835" w:type="dxa"/>
            <w:vAlign w:val="center"/>
          </w:tcPr>
          <w:p>
            <w:pPr>
              <w:pStyle w:val="29"/>
            </w:pPr>
            <w:r>
              <w:rPr>
                <w:rFonts w:hint="eastAsia"/>
              </w:rPr>
              <w:t>绩效指标描述</w:t>
            </w:r>
          </w:p>
        </w:tc>
        <w:tc>
          <w:tcPr>
            <w:tcW w:w="2551" w:type="dxa"/>
            <w:vAlign w:val="center"/>
          </w:tcPr>
          <w:p>
            <w:pPr>
              <w:pStyle w:val="29"/>
            </w:pPr>
            <w:r>
              <w:rPr>
                <w:rFonts w:hint="eastAsia"/>
              </w:rPr>
              <w:t>指标值</w:t>
            </w:r>
          </w:p>
        </w:tc>
        <w:tc>
          <w:tcPr>
            <w:tcW w:w="2268" w:type="dxa"/>
            <w:vAlign w:val="center"/>
          </w:tcPr>
          <w:p>
            <w:pPr>
              <w:pStyle w:val="29"/>
            </w:pPr>
            <w:r>
              <w:rPr>
                <w:rFonts w:hint="eastAsia"/>
              </w:rPr>
              <w:t>指标值确定依据</w:t>
            </w:r>
          </w:p>
        </w:tc>
      </w:tr>
      <w:tr>
        <w:trPr>
          <w:trHeight w:val="397" w:hRule="atLeast"/>
          <w:jc w:val="center"/>
        </w:trPr>
        <w:tc>
          <w:tcPr>
            <w:tcW w:w="1417" w:type="dxa"/>
            <w:vMerge w:val="restart"/>
            <w:vAlign w:val="center"/>
          </w:tcPr>
          <w:p>
            <w:pPr>
              <w:pStyle w:val="31"/>
            </w:pPr>
            <w:r>
              <w:rPr>
                <w:rFonts w:hint="eastAsia"/>
              </w:rPr>
              <w:t>产出指标</w:t>
            </w:r>
          </w:p>
        </w:tc>
        <w:tc>
          <w:tcPr>
            <w:tcW w:w="2268" w:type="dxa"/>
            <w:vAlign w:val="center"/>
          </w:tcPr>
          <w:p>
            <w:pPr>
              <w:pStyle w:val="30"/>
            </w:pPr>
            <w:r>
              <w:rPr>
                <w:rFonts w:hint="eastAsia"/>
              </w:rPr>
              <w:t>数量指标</w:t>
            </w:r>
          </w:p>
        </w:tc>
        <w:tc>
          <w:tcPr>
            <w:tcW w:w="2835" w:type="dxa"/>
            <w:vAlign w:val="center"/>
          </w:tcPr>
          <w:p>
            <w:pPr>
              <w:pStyle w:val="30"/>
            </w:pPr>
            <w:r>
              <w:rPr>
                <w:rFonts w:hint="eastAsia"/>
              </w:rPr>
              <w:t>完成活动数量</w:t>
            </w:r>
          </w:p>
        </w:tc>
        <w:tc>
          <w:tcPr>
            <w:tcW w:w="2835" w:type="dxa"/>
            <w:vAlign w:val="center"/>
          </w:tcPr>
          <w:p>
            <w:pPr>
              <w:pStyle w:val="30"/>
            </w:pPr>
            <w:r>
              <w:rPr>
                <w:rFonts w:hint="eastAsia"/>
              </w:rPr>
              <w:t>年内完成活动数量</w:t>
            </w:r>
          </w:p>
        </w:tc>
        <w:tc>
          <w:tcPr>
            <w:tcW w:w="2551" w:type="dxa"/>
            <w:vAlign w:val="center"/>
          </w:tcPr>
          <w:p>
            <w:pPr>
              <w:pStyle w:val="30"/>
            </w:pPr>
            <w:r>
              <w:rPr>
                <w:rFonts w:hint="eastAsia"/>
              </w:rPr>
              <w:t>≥</w:t>
            </w:r>
            <w:r>
              <w:t>10</w:t>
            </w:r>
            <w:r>
              <w:rPr>
                <w:rFonts w:hint="eastAsia"/>
              </w:rPr>
              <w:t>项</w:t>
            </w:r>
          </w:p>
        </w:tc>
        <w:tc>
          <w:tcPr>
            <w:tcW w:w="2268" w:type="dxa"/>
            <w:vAlign w:val="center"/>
          </w:tcPr>
          <w:p>
            <w:pPr>
              <w:pStyle w:val="30"/>
            </w:pPr>
            <w:r>
              <w:rPr>
                <w:rFonts w:hint="eastAsia"/>
              </w:rPr>
              <w:t>人大常委会年度工作计划</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质量指标</w:t>
            </w:r>
          </w:p>
        </w:tc>
        <w:tc>
          <w:tcPr>
            <w:tcW w:w="2835" w:type="dxa"/>
            <w:vAlign w:val="center"/>
          </w:tcPr>
          <w:p>
            <w:pPr>
              <w:pStyle w:val="30"/>
            </w:pPr>
            <w:r>
              <w:rPr>
                <w:rFonts w:hint="eastAsia"/>
              </w:rPr>
              <w:t>活动达标率</w:t>
            </w:r>
          </w:p>
        </w:tc>
        <w:tc>
          <w:tcPr>
            <w:tcW w:w="2835" w:type="dxa"/>
            <w:vAlign w:val="center"/>
          </w:tcPr>
          <w:p>
            <w:pPr>
              <w:pStyle w:val="30"/>
            </w:pPr>
            <w:r>
              <w:rPr>
                <w:rFonts w:hint="eastAsia"/>
              </w:rPr>
              <w:t>开展活动达标率占比</w:t>
            </w:r>
          </w:p>
        </w:tc>
        <w:tc>
          <w:tcPr>
            <w:tcW w:w="2551" w:type="dxa"/>
            <w:vAlign w:val="center"/>
          </w:tcPr>
          <w:p>
            <w:pPr>
              <w:pStyle w:val="30"/>
            </w:pPr>
            <w:r>
              <w:rPr>
                <w:rFonts w:hint="eastAsia"/>
              </w:rPr>
              <w:t>≥</w:t>
            </w:r>
            <w:r>
              <w:t>95</w:t>
            </w:r>
            <w:r>
              <w:rPr>
                <w:rFonts w:hint="eastAsia"/>
              </w:rPr>
              <w:t>百分比</w:t>
            </w:r>
          </w:p>
        </w:tc>
        <w:tc>
          <w:tcPr>
            <w:tcW w:w="2268" w:type="dxa"/>
            <w:vAlign w:val="center"/>
          </w:tcPr>
          <w:p>
            <w:pPr>
              <w:pStyle w:val="30"/>
            </w:pPr>
            <w:r>
              <w:rPr>
                <w:rFonts w:hint="eastAsia"/>
              </w:rPr>
              <w:t>监督法规定和市人大要求</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时效指标</w:t>
            </w:r>
          </w:p>
        </w:tc>
        <w:tc>
          <w:tcPr>
            <w:tcW w:w="2835" w:type="dxa"/>
            <w:vAlign w:val="center"/>
          </w:tcPr>
          <w:p>
            <w:pPr>
              <w:pStyle w:val="30"/>
            </w:pPr>
            <w:r>
              <w:rPr>
                <w:rFonts w:hint="eastAsia"/>
              </w:rPr>
              <w:t>工作完成及时性</w:t>
            </w:r>
          </w:p>
        </w:tc>
        <w:tc>
          <w:tcPr>
            <w:tcW w:w="2835" w:type="dxa"/>
            <w:vAlign w:val="center"/>
          </w:tcPr>
          <w:p>
            <w:pPr>
              <w:pStyle w:val="30"/>
            </w:pPr>
            <w:r>
              <w:rPr>
                <w:rFonts w:hint="eastAsia"/>
              </w:rPr>
              <w:t>反映工作是否在规定时间内完成</w:t>
            </w:r>
          </w:p>
        </w:tc>
        <w:tc>
          <w:tcPr>
            <w:tcW w:w="2551" w:type="dxa"/>
            <w:vAlign w:val="center"/>
          </w:tcPr>
          <w:p>
            <w:pPr>
              <w:pStyle w:val="30"/>
            </w:pPr>
            <w:r>
              <w:t>100</w:t>
            </w:r>
            <w:r>
              <w:rPr>
                <w:rFonts w:hint="eastAsia"/>
              </w:rPr>
              <w:t>百分比</w:t>
            </w:r>
          </w:p>
        </w:tc>
        <w:tc>
          <w:tcPr>
            <w:tcW w:w="2268" w:type="dxa"/>
            <w:vAlign w:val="center"/>
          </w:tcPr>
          <w:p>
            <w:pPr>
              <w:pStyle w:val="30"/>
            </w:pPr>
            <w:r>
              <w:rPr>
                <w:rFonts w:hint="eastAsia"/>
              </w:rPr>
              <w:t>监督法相关规定</w:t>
            </w:r>
          </w:p>
        </w:tc>
      </w:tr>
      <w:tr>
        <w:trPr>
          <w:trHeight w:val="397" w:hRule="atLeast"/>
          <w:jc w:val="center"/>
        </w:trPr>
        <w:tc>
          <w:tcPr>
            <w:tcW w:w="1417" w:type="dxa"/>
            <w:vMerge w:val="continue"/>
            <w:vAlign w:val="center"/>
          </w:tcPr>
          <w:p/>
        </w:tc>
        <w:tc>
          <w:tcPr>
            <w:tcW w:w="2268" w:type="dxa"/>
            <w:vAlign w:val="center"/>
          </w:tcPr>
          <w:p>
            <w:pPr>
              <w:pStyle w:val="30"/>
            </w:pPr>
            <w:r>
              <w:rPr>
                <w:rFonts w:hint="eastAsia"/>
              </w:rPr>
              <w:t>成本指标</w:t>
            </w:r>
          </w:p>
        </w:tc>
        <w:tc>
          <w:tcPr>
            <w:tcW w:w="2835" w:type="dxa"/>
            <w:vAlign w:val="center"/>
          </w:tcPr>
          <w:p>
            <w:pPr>
              <w:pStyle w:val="30"/>
            </w:pPr>
            <w:r>
              <w:rPr>
                <w:rFonts w:hint="eastAsia"/>
              </w:rPr>
              <w:t>成本控制率</w:t>
            </w:r>
          </w:p>
        </w:tc>
        <w:tc>
          <w:tcPr>
            <w:tcW w:w="2835" w:type="dxa"/>
            <w:vAlign w:val="center"/>
          </w:tcPr>
          <w:p>
            <w:pPr>
              <w:pStyle w:val="30"/>
            </w:pPr>
            <w:r>
              <w:rPr>
                <w:rFonts w:hint="eastAsia"/>
              </w:rPr>
              <w:t>实际支出金额占预算金额的比例</w:t>
            </w:r>
          </w:p>
        </w:tc>
        <w:tc>
          <w:tcPr>
            <w:tcW w:w="2551" w:type="dxa"/>
            <w:vAlign w:val="center"/>
          </w:tcPr>
          <w:p>
            <w:pPr>
              <w:pStyle w:val="30"/>
            </w:pPr>
            <w:r>
              <w:rPr>
                <w:rFonts w:hint="eastAsia"/>
              </w:rPr>
              <w:t>≤</w:t>
            </w:r>
            <w:r>
              <w:t>100</w:t>
            </w:r>
            <w:r>
              <w:rPr>
                <w:rFonts w:hint="eastAsia"/>
              </w:rPr>
              <w:t>百分比</w:t>
            </w:r>
          </w:p>
        </w:tc>
        <w:tc>
          <w:tcPr>
            <w:tcW w:w="2268" w:type="dxa"/>
            <w:vAlign w:val="center"/>
          </w:tcPr>
          <w:p>
            <w:pPr>
              <w:pStyle w:val="30"/>
            </w:pPr>
            <w:r>
              <w:rPr>
                <w:rFonts w:hint="eastAsia"/>
              </w:rPr>
              <w:t>监督法规定和预算安排</w:t>
            </w:r>
          </w:p>
        </w:tc>
      </w:tr>
      <w:tr>
        <w:trPr>
          <w:trHeight w:val="397" w:hRule="atLeast"/>
          <w:jc w:val="center"/>
        </w:trPr>
        <w:tc>
          <w:tcPr>
            <w:tcW w:w="1417" w:type="dxa"/>
            <w:vAlign w:val="center"/>
          </w:tcPr>
          <w:p>
            <w:pPr>
              <w:pStyle w:val="31"/>
            </w:pPr>
            <w:r>
              <w:rPr>
                <w:rFonts w:hint="eastAsia"/>
              </w:rPr>
              <w:t>效益指标</w:t>
            </w:r>
          </w:p>
        </w:tc>
        <w:tc>
          <w:tcPr>
            <w:tcW w:w="2268" w:type="dxa"/>
            <w:vAlign w:val="center"/>
          </w:tcPr>
          <w:p>
            <w:pPr>
              <w:pStyle w:val="30"/>
            </w:pPr>
            <w:r>
              <w:rPr>
                <w:rFonts w:hint="eastAsia"/>
              </w:rPr>
              <w:t>社会效益指标</w:t>
            </w:r>
          </w:p>
        </w:tc>
        <w:tc>
          <w:tcPr>
            <w:tcW w:w="2835" w:type="dxa"/>
            <w:vAlign w:val="center"/>
          </w:tcPr>
          <w:p>
            <w:pPr>
              <w:pStyle w:val="30"/>
            </w:pPr>
            <w:r>
              <w:rPr>
                <w:rFonts w:hint="eastAsia"/>
              </w:rPr>
              <w:t>满意率</w:t>
            </w:r>
          </w:p>
        </w:tc>
        <w:tc>
          <w:tcPr>
            <w:tcW w:w="2835" w:type="dxa"/>
            <w:vAlign w:val="center"/>
          </w:tcPr>
          <w:p>
            <w:pPr>
              <w:pStyle w:val="30"/>
            </w:pPr>
            <w:r>
              <w:rPr>
                <w:rFonts w:hint="eastAsia"/>
              </w:rPr>
              <w:t>开展活动满意率占代表测评人数比值</w:t>
            </w:r>
          </w:p>
        </w:tc>
        <w:tc>
          <w:tcPr>
            <w:tcW w:w="2551" w:type="dxa"/>
            <w:vAlign w:val="center"/>
          </w:tcPr>
          <w:p>
            <w:pPr>
              <w:pStyle w:val="30"/>
            </w:pPr>
            <w:r>
              <w:rPr>
                <w:rFonts w:hint="eastAsia"/>
              </w:rPr>
              <w:t>≥</w:t>
            </w:r>
            <w:r>
              <w:t>90</w:t>
            </w:r>
            <w:r>
              <w:rPr>
                <w:rFonts w:hint="eastAsia"/>
              </w:rPr>
              <w:t>百分比</w:t>
            </w:r>
          </w:p>
        </w:tc>
        <w:tc>
          <w:tcPr>
            <w:tcW w:w="2268" w:type="dxa"/>
            <w:vAlign w:val="center"/>
          </w:tcPr>
          <w:p>
            <w:pPr>
              <w:pStyle w:val="30"/>
            </w:pPr>
            <w:r>
              <w:rPr>
                <w:rFonts w:hint="eastAsia"/>
              </w:rPr>
              <w:t>监督法规定和代表测评</w:t>
            </w:r>
          </w:p>
        </w:tc>
      </w:tr>
    </w:tbl>
    <w:p>
      <w:pPr>
        <w:pStyle w:val="28"/>
        <w:sectPr>
          <w:pgSz w:w="16840" w:h="11900" w:orient="landscape"/>
          <w:pgMar w:top="1361" w:right="1020" w:bottom="1361" w:left="1020" w:header="720" w:footer="720" w:gutter="0"/>
          <w:pgNumType w:fmt="decimal"/>
          <w:cols w:space="720" w:num="1"/>
          <w:docGrid w:linePitch="326"/>
        </w:sectPr>
      </w:pPr>
    </w:p>
    <w:p>
      <w:pPr>
        <w:spacing w:before="10" w:after="10"/>
        <w:ind w:firstLine="640"/>
        <w:outlineLvl w:val="2"/>
      </w:pPr>
      <w:bookmarkStart w:id="14" w:name="_Toc_3_3_0000000015"/>
      <w:r>
        <w:rPr>
          <w:rFonts w:hint="eastAsia" w:asci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年，高阳县</w:t>
      </w:r>
      <w:r>
        <w:rPr>
          <w:rFonts w:hint="eastAsia" w:eastAsia="方正仿宋_GBK"/>
          <w:color w:val="000000"/>
          <w:sz w:val="28"/>
          <w:lang w:eastAsia="zh-CN"/>
        </w:rPr>
        <w:t>人大常委会办公室（机关）</w:t>
      </w:r>
      <w:r>
        <w:rPr>
          <w:rFonts w:hint="eastAsia" w:eastAsia="方正仿宋_GBK"/>
          <w:color w:val="000000"/>
          <w:sz w:val="28"/>
        </w:rPr>
        <w:t>安排政府采购预算</w:t>
      </w:r>
      <w:r>
        <w:rPr>
          <w:rFonts w:eastAsia="方正仿宋_GBK"/>
          <w:color w:val="000000"/>
          <w:sz w:val="28"/>
        </w:rPr>
        <w:t>0</w:t>
      </w:r>
      <w:r>
        <w:rPr>
          <w:rFonts w:hint="eastAsia" w:eastAsia="方正仿宋_GBK"/>
          <w:color w:val="000000"/>
          <w:sz w:val="28"/>
        </w:rPr>
        <w:t>万元。</w:t>
      </w:r>
    </w:p>
    <w:p>
      <w:pPr>
        <w:jc w:val="center"/>
        <w:rPr>
          <w:rFonts w:ascii="方正小标宋_GBK" w:eastAsia="方正小标宋_GBK" w:cs="方正小标宋_GBK"/>
          <w:color w:val="000000"/>
          <w:sz w:val="36"/>
          <w:lang w:eastAsia="zh-CN"/>
        </w:rPr>
      </w:pPr>
    </w:p>
    <w:p>
      <w:pPr>
        <w:jc w:val="center"/>
      </w:pPr>
      <w:r>
        <w:rPr>
          <w:rFonts w:hint="eastAsia" w:ascii="方正小标宋_GBK" w:eastAsia="方正小标宋_GBK" w:cs="方正小标宋_GBK"/>
          <w:color w:val="000000"/>
          <w:sz w:val="36"/>
          <w:lang w:eastAsia="zh-CN"/>
        </w:rPr>
        <w:t>单位</w:t>
      </w:r>
      <w:r>
        <w:rPr>
          <w:rFonts w:hint="eastAsia" w:ascii="方正小标宋_GBK" w:eastAsia="方正小标宋_GBK" w:cs="方正小标宋_GBK"/>
          <w:color w:val="000000"/>
          <w:sz w:val="36"/>
        </w:rPr>
        <w:t>政府采购预算</w:t>
      </w:r>
    </w:p>
    <w:tbl>
      <w:tblPr>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rPr>
          <w:cantSplit/>
          <w:tblHeader/>
          <w:jc w:val="center"/>
        </w:trPr>
        <w:tc>
          <w:tcPr>
            <w:tcW w:w="6884" w:type="dxa"/>
            <w:gridSpan w:val="7"/>
            <w:tcBorders>
              <w:top w:val="single" w:color="FFFFFF" w:sz="6" w:space="0"/>
              <w:left w:val="single" w:color="FFFFFF" w:sz="6" w:space="0"/>
              <w:right w:val="single" w:color="FFFFFF" w:sz="6" w:space="0"/>
            </w:tcBorders>
            <w:vAlign w:val="center"/>
          </w:tcPr>
          <w:p>
            <w:pPr>
              <w:pStyle w:val="13"/>
            </w:pPr>
            <w:r>
              <w:t>101001</w:t>
            </w:r>
            <w:r>
              <w:rPr>
                <w:rFonts w:hint="eastAsia"/>
              </w:rPr>
              <w:t>高阳县</w:t>
            </w:r>
            <w:r>
              <w:rPr>
                <w:rFonts w:hint="eastAsia"/>
                <w:lang w:eastAsia="zh-CN"/>
              </w:rPr>
              <w:t>人大常委会办公室</w:t>
            </w:r>
            <w:r>
              <w:rPr>
                <w:rFonts w:hint="eastAsia"/>
                <w:lang w:val="en-US" w:eastAsia="zh-CN"/>
              </w:rPr>
              <w:t>(机关）</w:t>
            </w:r>
          </w:p>
        </w:tc>
        <w:tc>
          <w:tcPr>
            <w:tcW w:w="8136" w:type="dxa"/>
            <w:gridSpan w:val="9"/>
            <w:tcBorders>
              <w:top w:val="single" w:color="FFFFFF" w:sz="6" w:space="0"/>
              <w:left w:val="single" w:color="FFFFFF" w:sz="6" w:space="0"/>
              <w:right w:val="single" w:color="FFFFFF" w:sz="6" w:space="0"/>
            </w:tcBorders>
            <w:vAlign w:val="center"/>
          </w:tcPr>
          <w:p>
            <w:pPr>
              <w:pStyle w:val="32"/>
            </w:pPr>
            <w:r>
              <w:rPr>
                <w:rFonts w:hint="eastAsia"/>
              </w:rPr>
              <w:t>单位：</w:t>
            </w:r>
            <w:r>
              <w:rPr>
                <w:rFonts w:hint="eastAsia"/>
                <w:lang w:eastAsia="zh-CN"/>
              </w:rPr>
              <w:t>万</w:t>
            </w:r>
            <w:r>
              <w:rPr>
                <w:rFonts w:hint="eastAsia"/>
              </w:rPr>
              <w:t>元</w:t>
            </w:r>
          </w:p>
        </w:tc>
      </w:tr>
      <w:tr>
        <w:trPr>
          <w:cantSplit/>
          <w:tblHeader/>
          <w:jc w:val="center"/>
        </w:trPr>
        <w:tc>
          <w:tcPr>
            <w:tcW w:w="2499" w:type="dxa"/>
            <w:gridSpan w:val="2"/>
            <w:vAlign w:val="center"/>
          </w:tcPr>
          <w:p>
            <w:pPr>
              <w:pStyle w:val="14"/>
            </w:pPr>
            <w:r>
              <w:rPr>
                <w:rFonts w:hint="eastAsia"/>
              </w:rPr>
              <w:t>政府采购项目来源</w:t>
            </w:r>
          </w:p>
        </w:tc>
        <w:tc>
          <w:tcPr>
            <w:tcW w:w="1063" w:type="dxa"/>
            <w:vMerge w:val="restart"/>
            <w:vAlign w:val="center"/>
          </w:tcPr>
          <w:p>
            <w:pPr>
              <w:pStyle w:val="14"/>
            </w:pPr>
            <w:r>
              <w:rPr>
                <w:rFonts w:hint="eastAsia"/>
              </w:rPr>
              <w:t>采购物品名称</w:t>
            </w:r>
          </w:p>
        </w:tc>
        <w:tc>
          <w:tcPr>
            <w:tcW w:w="1063" w:type="dxa"/>
            <w:vMerge w:val="restart"/>
            <w:vAlign w:val="center"/>
          </w:tcPr>
          <w:p>
            <w:pPr>
              <w:pStyle w:val="14"/>
            </w:pPr>
            <w:r>
              <w:rPr>
                <w:rFonts w:hint="eastAsia"/>
              </w:rPr>
              <w:t>政府采购目录序号</w:t>
            </w:r>
          </w:p>
        </w:tc>
        <w:tc>
          <w:tcPr>
            <w:tcW w:w="665" w:type="dxa"/>
            <w:vMerge w:val="restart"/>
            <w:vAlign w:val="center"/>
          </w:tcPr>
          <w:p>
            <w:pPr>
              <w:pStyle w:val="14"/>
            </w:pPr>
            <w:r>
              <w:rPr>
                <w:rFonts w:hint="eastAsia"/>
              </w:rPr>
              <w:t>计量</w:t>
            </w:r>
            <w:r>
              <w:t xml:space="preserve">  </w:t>
            </w:r>
            <w:r>
              <w:rPr>
                <w:rFonts w:hint="eastAsia"/>
              </w:rPr>
              <w:t>单位</w:t>
            </w:r>
          </w:p>
        </w:tc>
        <w:tc>
          <w:tcPr>
            <w:tcW w:w="797" w:type="dxa"/>
            <w:vMerge w:val="restart"/>
            <w:vAlign w:val="center"/>
          </w:tcPr>
          <w:p>
            <w:pPr>
              <w:pStyle w:val="14"/>
            </w:pPr>
            <w:r>
              <w:rPr>
                <w:rFonts w:hint="eastAsia"/>
              </w:rPr>
              <w:t>数量</w:t>
            </w:r>
          </w:p>
        </w:tc>
        <w:tc>
          <w:tcPr>
            <w:tcW w:w="797" w:type="dxa"/>
            <w:vMerge w:val="restart"/>
            <w:vAlign w:val="center"/>
          </w:tcPr>
          <w:p>
            <w:pPr>
              <w:pStyle w:val="14"/>
            </w:pPr>
            <w:r>
              <w:rPr>
                <w:rFonts w:hint="eastAsia"/>
              </w:rPr>
              <w:t>单价</w:t>
            </w:r>
          </w:p>
        </w:tc>
        <w:tc>
          <w:tcPr>
            <w:tcW w:w="7232" w:type="dxa"/>
            <w:gridSpan w:val="8"/>
            <w:vAlign w:val="center"/>
          </w:tcPr>
          <w:p>
            <w:pPr>
              <w:pStyle w:val="14"/>
            </w:pPr>
            <w:r>
              <w:rPr>
                <w:rFonts w:hint="eastAsia"/>
              </w:rPr>
              <w:t>政府采购金额（当年</w:t>
            </w:r>
            <w:r>
              <w:rPr>
                <w:rFonts w:hint="eastAsia"/>
                <w:lang w:eastAsia="zh-CN"/>
              </w:rPr>
              <w:t>部门</w:t>
            </w:r>
            <w:r>
              <w:rPr>
                <w:rFonts w:hint="eastAsia"/>
              </w:rPr>
              <w:t>预算安排资金）</w:t>
            </w:r>
          </w:p>
        </w:tc>
        <w:tc>
          <w:tcPr>
            <w:tcW w:w="90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rPr>
          <w:cantSplit/>
          <w:tblHeader/>
          <w:jc w:val="center"/>
        </w:trPr>
        <w:tc>
          <w:tcPr>
            <w:tcW w:w="1595" w:type="dxa"/>
            <w:vAlign w:val="center"/>
          </w:tcPr>
          <w:p>
            <w:pPr>
              <w:pStyle w:val="14"/>
            </w:pPr>
            <w:r>
              <w:rPr>
                <w:rFonts w:hint="eastAsia"/>
              </w:rPr>
              <w:t>项目名称</w:t>
            </w:r>
          </w:p>
        </w:tc>
        <w:tc>
          <w:tcPr>
            <w:tcW w:w="904" w:type="dxa"/>
            <w:vAlign w:val="center"/>
          </w:tcPr>
          <w:p>
            <w:pPr>
              <w:pStyle w:val="14"/>
            </w:pPr>
            <w:r>
              <w:rPr>
                <w:rFonts w:hint="eastAsia"/>
              </w:rPr>
              <w:t>预算</w:t>
            </w:r>
            <w:r>
              <w:t xml:space="preserve">    </w:t>
            </w:r>
            <w:r>
              <w:rPr>
                <w:rFonts w:hint="eastAsia"/>
              </w:rPr>
              <w:t>资金</w:t>
            </w:r>
          </w:p>
        </w:tc>
        <w:tc>
          <w:tcPr>
            <w:tcW w:w="1063" w:type="dxa"/>
            <w:vMerge w:val="continue"/>
            <w:vAlign w:val="top"/>
          </w:tcPr>
          <w:p/>
        </w:tc>
        <w:tc>
          <w:tcPr>
            <w:tcW w:w="1063" w:type="dxa"/>
            <w:vMerge w:val="continue"/>
            <w:vAlign w:val="top"/>
          </w:tcPr>
          <w:p/>
        </w:tc>
        <w:tc>
          <w:tcPr>
            <w:tcW w:w="665" w:type="dxa"/>
            <w:vMerge w:val="continue"/>
            <w:vAlign w:val="top"/>
          </w:tcPr>
          <w:p/>
        </w:tc>
        <w:tc>
          <w:tcPr>
            <w:tcW w:w="797" w:type="dxa"/>
            <w:vMerge w:val="continue"/>
            <w:vAlign w:val="top"/>
          </w:tcPr>
          <w:p/>
        </w:tc>
        <w:tc>
          <w:tcPr>
            <w:tcW w:w="797" w:type="dxa"/>
            <w:vMerge w:val="continue"/>
            <w:vAlign w:val="top"/>
          </w:tcPr>
          <w:p/>
        </w:tc>
        <w:tc>
          <w:tcPr>
            <w:tcW w:w="904" w:type="dxa"/>
            <w:vAlign w:val="center"/>
          </w:tcPr>
          <w:p>
            <w:pPr>
              <w:pStyle w:val="14"/>
            </w:pPr>
            <w:r>
              <w:rPr>
                <w:rFonts w:hint="eastAsia"/>
              </w:rPr>
              <w:t>合计</w:t>
            </w:r>
          </w:p>
        </w:tc>
        <w:tc>
          <w:tcPr>
            <w:tcW w:w="904" w:type="dxa"/>
            <w:vAlign w:val="center"/>
          </w:tcPr>
          <w:p>
            <w:pPr>
              <w:pStyle w:val="14"/>
            </w:pPr>
            <w:r>
              <w:rPr>
                <w:rFonts w:hint="eastAsia"/>
              </w:rPr>
              <w:t>一般公共预算拨款</w:t>
            </w:r>
          </w:p>
        </w:tc>
        <w:tc>
          <w:tcPr>
            <w:tcW w:w="904" w:type="dxa"/>
            <w:vAlign w:val="center"/>
          </w:tcPr>
          <w:p>
            <w:pPr>
              <w:pStyle w:val="14"/>
            </w:pPr>
            <w:r>
              <w:rPr>
                <w:rFonts w:hint="eastAsia"/>
              </w:rPr>
              <w:t>基金预算拨款</w:t>
            </w:r>
          </w:p>
        </w:tc>
        <w:tc>
          <w:tcPr>
            <w:tcW w:w="904" w:type="dxa"/>
            <w:vAlign w:val="center"/>
          </w:tcPr>
          <w:p>
            <w:pPr>
              <w:pStyle w:val="14"/>
            </w:pPr>
            <w:r>
              <w:rPr>
                <w:rFonts w:hint="eastAsia"/>
              </w:rPr>
              <w:t>国有资本经营预算拨款</w:t>
            </w:r>
          </w:p>
        </w:tc>
        <w:tc>
          <w:tcPr>
            <w:tcW w:w="904" w:type="dxa"/>
            <w:vAlign w:val="center"/>
          </w:tcPr>
          <w:p>
            <w:pPr>
              <w:pStyle w:val="14"/>
            </w:pPr>
            <w:r>
              <w:rPr>
                <w:rFonts w:hint="eastAsia"/>
              </w:rPr>
              <w:t>财政专户核拨</w:t>
            </w:r>
          </w:p>
        </w:tc>
        <w:tc>
          <w:tcPr>
            <w:tcW w:w="904" w:type="dxa"/>
            <w:vAlign w:val="center"/>
          </w:tcPr>
          <w:p>
            <w:pPr>
              <w:pStyle w:val="14"/>
            </w:pPr>
            <w:r>
              <w:rPr>
                <w:rFonts w:hint="eastAsia"/>
              </w:rPr>
              <w:t>单位</w:t>
            </w:r>
            <w:r>
              <w:t xml:space="preserve">    </w:t>
            </w:r>
            <w:r>
              <w:rPr>
                <w:rFonts w:hint="eastAsia"/>
              </w:rPr>
              <w:t>资金</w:t>
            </w:r>
          </w:p>
        </w:tc>
        <w:tc>
          <w:tcPr>
            <w:tcW w:w="904" w:type="dxa"/>
            <w:vAlign w:val="center"/>
          </w:tcPr>
          <w:p>
            <w:pPr>
              <w:pStyle w:val="14"/>
            </w:pPr>
            <w:r>
              <w:rPr>
                <w:rFonts w:hint="eastAsia"/>
              </w:rPr>
              <w:t>财政拨</w:t>
            </w:r>
            <w:r>
              <w:t xml:space="preserve">    </w:t>
            </w:r>
            <w:r>
              <w:rPr>
                <w:rFonts w:hint="eastAsia"/>
              </w:rPr>
              <w:t>款结转</w:t>
            </w:r>
          </w:p>
        </w:tc>
        <w:tc>
          <w:tcPr>
            <w:tcW w:w="90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04" w:type="dxa"/>
            <w:vMerge w:val="continue"/>
            <w:vAlign w:val="top"/>
          </w:tcPr>
          <w:p/>
        </w:tc>
      </w:tr>
      <w:tr>
        <w:trPr>
          <w:cantSplit/>
          <w:jc w:val="center"/>
        </w:trPr>
        <w:tc>
          <w:tcPr>
            <w:tcW w:w="1595" w:type="dxa"/>
            <w:vAlign w:val="center"/>
          </w:tcPr>
          <w:p>
            <w:pPr>
              <w:pStyle w:val="16"/>
            </w:pPr>
          </w:p>
        </w:tc>
        <w:tc>
          <w:tcPr>
            <w:tcW w:w="904" w:type="dxa"/>
            <w:vAlign w:val="center"/>
          </w:tcPr>
          <w:p>
            <w:pPr>
              <w:pStyle w:val="15"/>
            </w:pPr>
          </w:p>
        </w:tc>
        <w:tc>
          <w:tcPr>
            <w:tcW w:w="1063" w:type="dxa"/>
            <w:vAlign w:val="center"/>
          </w:tcPr>
          <w:p>
            <w:pPr>
              <w:pStyle w:val="16"/>
            </w:pPr>
          </w:p>
        </w:tc>
        <w:tc>
          <w:tcPr>
            <w:tcW w:w="1063" w:type="dxa"/>
            <w:vAlign w:val="center"/>
          </w:tcPr>
          <w:p>
            <w:pPr>
              <w:pStyle w:val="16"/>
            </w:pPr>
          </w:p>
        </w:tc>
        <w:tc>
          <w:tcPr>
            <w:tcW w:w="665" w:type="dxa"/>
            <w:vAlign w:val="center"/>
          </w:tcPr>
          <w:p>
            <w:pPr>
              <w:pStyle w:val="17"/>
            </w:pPr>
          </w:p>
        </w:tc>
        <w:tc>
          <w:tcPr>
            <w:tcW w:w="797" w:type="dxa"/>
            <w:vAlign w:val="center"/>
          </w:tcPr>
          <w:p>
            <w:pPr>
              <w:pStyle w:val="15"/>
            </w:pPr>
          </w:p>
        </w:tc>
        <w:tc>
          <w:tcPr>
            <w:tcW w:w="797"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c>
          <w:tcPr>
            <w:tcW w:w="904" w:type="dxa"/>
            <w:vAlign w:val="center"/>
          </w:tcPr>
          <w:p>
            <w:pPr>
              <w:pStyle w:val="15"/>
            </w:pPr>
          </w:p>
        </w:tc>
      </w:tr>
    </w:tbl>
    <w:p>
      <w:pPr>
        <w:ind w:firstLine="420"/>
      </w:pPr>
      <w:r>
        <w:rPr>
          <w:rFonts w:hint="eastAsia"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eastAsia="黑体" w:cs="黑体"/>
          <w:color w:val="000000"/>
          <w:sz w:val="32"/>
        </w:rPr>
        <w:t>七、国有资产信息</w:t>
      </w:r>
      <w:bookmarkEnd w:id="15"/>
    </w:p>
    <w:p>
      <w:pPr>
        <w:spacing w:line="500" w:lineRule="exact"/>
        <w:ind w:firstLine="560"/>
      </w:pPr>
      <w:r>
        <w:rPr>
          <w:rFonts w:hint="eastAsia" w:eastAsia="方正仿宋_GBK"/>
          <w:color w:val="000000"/>
          <w:sz w:val="28"/>
        </w:rPr>
        <w:t>高阳县</w:t>
      </w:r>
      <w:r>
        <w:rPr>
          <w:rFonts w:hint="eastAsia" w:eastAsia="方正仿宋_GBK"/>
          <w:color w:val="000000"/>
          <w:sz w:val="28"/>
          <w:lang w:eastAsia="zh-CN"/>
        </w:rPr>
        <w:t>人大常委会办公室</w:t>
      </w:r>
      <w:r>
        <w:rPr>
          <w:rFonts w:hint="eastAsia" w:eastAsia="方正仿宋_GBK"/>
          <w:color w:val="000000"/>
          <w:sz w:val="28"/>
        </w:rPr>
        <w:t>（</w:t>
      </w:r>
      <w:r>
        <w:rPr>
          <w:rFonts w:hint="eastAsia" w:eastAsia="方正仿宋_GBK"/>
          <w:color w:val="000000"/>
          <w:sz w:val="28"/>
          <w:lang w:eastAsia="zh-CN"/>
        </w:rPr>
        <w:t>机关</w:t>
      </w:r>
      <w:r>
        <w:rPr>
          <w:rFonts w:hint="eastAsia" w:eastAsia="方正仿宋_GBK"/>
          <w:color w:val="000000"/>
          <w:sz w:val="28"/>
        </w:rPr>
        <w:t>）上年末固定资产金额为</w:t>
      </w:r>
      <w:r>
        <w:rPr>
          <w:rFonts w:eastAsia="方正仿宋_GBK"/>
          <w:color w:val="000000"/>
          <w:sz w:val="28"/>
          <w:lang w:eastAsia="zh-CN"/>
        </w:rPr>
        <w:t>2.4</w:t>
      </w:r>
      <w:r>
        <w:rPr>
          <w:rFonts w:hint="eastAsia" w:eastAsia="方正仿宋_GBK"/>
          <w:color w:val="000000"/>
          <w:sz w:val="28"/>
          <w:lang w:val="en-US" w:eastAsia="zh-CN"/>
        </w:rPr>
        <w:t>0</w:t>
      </w:r>
      <w:r>
        <w:rPr>
          <w:rFonts w:hint="eastAsia" w:eastAsia="方正仿宋_GBK"/>
          <w:color w:val="000000"/>
          <w:sz w:val="28"/>
        </w:rPr>
        <w:t>万元（详见下表）。本年度拟购置固定资产总额为</w:t>
      </w:r>
      <w:r>
        <w:rPr>
          <w:rFonts w:eastAsia="方正仿宋_GBK"/>
          <w:color w:val="000000"/>
          <w:sz w:val="28"/>
          <w:lang w:eastAsia="zh-CN"/>
        </w:rPr>
        <w:t>18.06</w:t>
      </w:r>
      <w:r>
        <w:rPr>
          <w:rFonts w:hint="eastAsia" w:eastAsia="方正仿宋_GBK"/>
          <w:color w:val="000000"/>
          <w:sz w:val="28"/>
        </w:rPr>
        <w:t>万元，</w:t>
      </w:r>
      <w:r>
        <w:rPr>
          <w:rFonts w:hint="eastAsia" w:eastAsia="方正仿宋_GBK"/>
          <w:color w:val="000000"/>
          <w:sz w:val="28"/>
          <w:lang w:val="en-US" w:eastAsia="zh-CN"/>
        </w:rPr>
        <w:t>未达到采购标准，不在政府采购预算体现</w:t>
      </w:r>
      <w:r>
        <w:rPr>
          <w:rFonts w:hint="eastAsia" w:eastAsia="方正仿宋_GBK"/>
          <w:color w:val="000000"/>
          <w:sz w:val="28"/>
        </w:rPr>
        <w:t>。</w:t>
      </w:r>
    </w:p>
    <w:p>
      <w:pPr>
        <w:jc w:val="center"/>
        <w:rPr>
          <w:sz w:val="36"/>
        </w:rPr>
      </w:pPr>
      <w:bookmarkStart w:id="16" w:name="_Toc_3_3_0000000017"/>
      <w:r>
        <w:rPr>
          <w:rFonts w:hint="eastAsia" w:ascii="方正小标宋_GBK" w:eastAsia="方正小标宋_GBK"/>
          <w:sz w:val="36"/>
          <w:lang w:eastAsia="zh-CN"/>
        </w:rPr>
        <w:t>单位</w:t>
      </w:r>
      <w:r>
        <w:rPr>
          <w:rFonts w:hint="eastAsia" w:ascii="方正小标宋_GBK" w:eastAsia="方正小标宋_GBK"/>
          <w:sz w:val="36"/>
        </w:rPr>
        <w:t>固定资产占用情况表</w:t>
      </w:r>
    </w:p>
    <w:tbl>
      <w:tblPr>
        <w:tblW w:w="133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3163"/>
      </w:tblGrid>
      <w:tr>
        <w:trPr>
          <w:cantSplit/>
          <w:tblHeader/>
          <w:jc w:val="center"/>
        </w:trPr>
        <w:tc>
          <w:tcPr>
            <w:tcW w:w="7370" w:type="dxa"/>
            <w:tcBorders>
              <w:top w:val="single" w:color="FFFFFF" w:sz="6" w:space="0"/>
              <w:left w:val="single" w:color="FFFFFF" w:sz="6" w:space="0"/>
              <w:right w:val="single" w:color="FFFFFF" w:sz="6" w:space="0"/>
            </w:tcBorders>
            <w:vAlign w:val="center"/>
          </w:tcPr>
          <w:p>
            <w:pPr>
              <w:spacing w:line="300" w:lineRule="exact"/>
              <w:rPr>
                <w:rFonts w:ascii="方正小标宋_GBK" w:eastAsia="方正小标宋_GBK"/>
              </w:rPr>
            </w:pPr>
            <w:r>
              <w:rPr>
                <w:rFonts w:ascii="方正小标宋_GBK" w:eastAsia="方正小标宋_GBK"/>
              </w:rPr>
              <w:t>101001</w:t>
            </w:r>
            <w:r>
              <w:rPr>
                <w:rFonts w:hint="eastAsia" w:ascii="方正小标宋_GBK" w:eastAsia="方正小标宋_GBK"/>
              </w:rPr>
              <w:t>高阳县</w:t>
            </w:r>
            <w:r>
              <w:rPr>
                <w:rFonts w:hint="eastAsia" w:ascii="方正小标宋_GBK" w:eastAsia="方正小标宋_GBK"/>
                <w:lang w:eastAsia="zh-CN"/>
              </w:rPr>
              <w:t>人大常委会办公室</w:t>
            </w:r>
            <w:r>
              <w:rPr>
                <w:rFonts w:hint="eastAsia"/>
                <w:lang w:val="en-US" w:eastAsia="zh-CN"/>
              </w:rPr>
              <w:t>(机关）</w:t>
            </w:r>
          </w:p>
        </w:tc>
        <w:tc>
          <w:tcPr>
            <w:tcW w:w="5998" w:type="dxa"/>
            <w:gridSpan w:val="2"/>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rPr>
            </w:pPr>
            <w:r>
              <w:rPr>
                <w:rFonts w:hint="eastAsia" w:ascii="方正小标宋_GBK" w:eastAsia="方正小标宋_GBK"/>
              </w:rPr>
              <w:t>截止时间：</w:t>
            </w:r>
            <w:r>
              <w:rPr>
                <w:rFonts w:ascii="方正小标宋_GBK" w:eastAsia="方正小标宋_GBK"/>
              </w:rPr>
              <w:t>202</w:t>
            </w:r>
            <w:r>
              <w:rPr>
                <w:rFonts w:ascii="方正小标宋_GBK" w:eastAsia="方正小标宋_GBK"/>
                <w:lang w:eastAsia="zh-CN"/>
              </w:rPr>
              <w:t>1</w:t>
            </w:r>
            <w:r>
              <w:rPr>
                <w:rFonts w:ascii="方正小标宋_GBK" w:eastAsia="方正小标宋_GBK"/>
              </w:rPr>
              <w:t>-12-31</w:t>
            </w:r>
          </w:p>
        </w:tc>
      </w:tr>
      <w:tr>
        <w:trPr>
          <w:cantSplit/>
          <w:tblHeader/>
          <w:jc w:val="center"/>
        </w:trPr>
        <w:tc>
          <w:tcPr>
            <w:tcW w:w="7370" w:type="dxa"/>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163" w:type="dxa"/>
            <w:vAlign w:val="center"/>
          </w:tcPr>
          <w:p>
            <w:pPr>
              <w:spacing w:line="300" w:lineRule="exact"/>
              <w:jc w:val="center"/>
              <w:rPr>
                <w:rFonts w:ascii="方正书宋_GBK" w:eastAsia="方正书宋_GBK"/>
                <w:b/>
              </w:rPr>
            </w:pPr>
            <w:r>
              <w:rPr>
                <w:rFonts w:hint="eastAsia" w:ascii="方正书宋_GBK" w:eastAsia="方正书宋_GBK"/>
                <w:b/>
              </w:rPr>
              <w:t>价值（金额单位：</w:t>
            </w:r>
            <w:r>
              <w:rPr>
                <w:rFonts w:hint="eastAsia" w:ascii="方正书宋_GBK" w:eastAsia="方正书宋_GBK"/>
                <w:b/>
                <w:lang w:eastAsia="zh-CN"/>
              </w:rPr>
              <w:t>万</w:t>
            </w:r>
            <w:r>
              <w:rPr>
                <w:rFonts w:hint="eastAsia" w:ascii="方正书宋_GBK" w:eastAsia="方正书宋_GBK"/>
                <w:b/>
              </w:rPr>
              <w:t>元）</w:t>
            </w:r>
          </w:p>
        </w:tc>
      </w:tr>
      <w:tr>
        <w:trPr>
          <w:cantSplit/>
          <w:jc w:val="center"/>
        </w:trPr>
        <w:tc>
          <w:tcPr>
            <w:tcW w:w="7370" w:type="dxa"/>
            <w:vAlign w:val="center"/>
          </w:tcPr>
          <w:p>
            <w:pPr>
              <w:spacing w:line="300" w:lineRule="exact"/>
              <w:rPr>
                <w:rFonts w:ascii="方正书宋_GBK" w:eastAsia="方正书宋_GBK"/>
              </w:rPr>
            </w:pPr>
            <w:r>
              <w:rPr>
                <w:rFonts w:hint="eastAsia" w:ascii="方正书宋_GBK" w:eastAsia="方正书宋_GBK"/>
              </w:rPr>
              <w:t>　　　　　　　　资产总额</w:t>
            </w:r>
          </w:p>
        </w:tc>
        <w:tc>
          <w:tcPr>
            <w:tcW w:w="2835" w:type="dxa"/>
            <w:vAlign w:val="center"/>
          </w:tcPr>
          <w:p>
            <w:pPr>
              <w:spacing w:line="300" w:lineRule="exact"/>
              <w:jc w:val="center"/>
              <w:rPr>
                <w:rFonts w:ascii="方正书宋_GBK" w:hAnsi="方正书宋_GBK"/>
              </w:rPr>
            </w:pPr>
            <w:r>
              <w:rPr>
                <w:rFonts w:ascii="方正书宋_GBK" w:hAnsi="方正书宋_GBK"/>
              </w:rPr>
              <w:t>84</w:t>
            </w:r>
          </w:p>
        </w:tc>
        <w:tc>
          <w:tcPr>
            <w:tcW w:w="3163" w:type="dxa"/>
            <w:vAlign w:val="center"/>
          </w:tcPr>
          <w:p>
            <w:pPr>
              <w:spacing w:line="300" w:lineRule="exact"/>
              <w:jc w:val="right"/>
              <w:rPr>
                <w:rFonts w:ascii="方正书宋_GBK" w:eastAsia="方正书宋_GBK"/>
              </w:rPr>
            </w:pPr>
            <w:r>
              <w:rPr>
                <w:rFonts w:ascii="方正书宋_GBK" w:eastAsia="方正书宋_GBK"/>
              </w:rPr>
              <w:t>2</w:t>
            </w:r>
            <w:r>
              <w:rPr>
                <w:rFonts w:ascii="方正书宋_GBK" w:eastAsia="方正书宋_GBK"/>
                <w:lang w:eastAsia="zh-CN"/>
              </w:rPr>
              <w:t>.40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vAlign w:val="center"/>
          </w:tcPr>
          <w:p>
            <w:pPr>
              <w:spacing w:line="300" w:lineRule="exact"/>
              <w:jc w:val="center"/>
              <w:rPr>
                <w:rFonts w:ascii="方正书宋_GBK" w:hAnsi="方正书宋_GBK"/>
              </w:rPr>
            </w:pPr>
            <w:r>
              <w:rPr>
                <w:rFonts w:ascii="方正书宋_GBK" w:hAnsi="方正书宋_GBK"/>
              </w:rPr>
              <w:t>0</w:t>
            </w:r>
          </w:p>
        </w:tc>
        <w:tc>
          <w:tcPr>
            <w:tcW w:w="316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hint="eastAsia" w:ascii="方正书宋_GBK" w:eastAsia="方正书宋_GBK"/>
              </w:rPr>
              <w:t>　　其中：办公用房（平方米）</w:t>
            </w:r>
          </w:p>
        </w:tc>
        <w:tc>
          <w:tcPr>
            <w:tcW w:w="2835" w:type="dxa"/>
            <w:vAlign w:val="center"/>
          </w:tcPr>
          <w:p>
            <w:pPr>
              <w:spacing w:line="300" w:lineRule="exact"/>
              <w:jc w:val="center"/>
              <w:rPr>
                <w:rFonts w:ascii="方正书宋_GBK" w:hAnsi="方正书宋_GBK"/>
              </w:rPr>
            </w:pPr>
            <w:r>
              <w:rPr>
                <w:rFonts w:ascii="方正书宋_GBK" w:hAnsi="方正书宋_GBK"/>
              </w:rPr>
              <w:t>0</w:t>
            </w:r>
          </w:p>
        </w:tc>
        <w:tc>
          <w:tcPr>
            <w:tcW w:w="316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vAlign w:val="center"/>
          </w:tcPr>
          <w:p>
            <w:pPr>
              <w:spacing w:line="300" w:lineRule="exact"/>
              <w:jc w:val="center"/>
              <w:rPr>
                <w:rFonts w:ascii="方正书宋_GBK" w:eastAsia="方正书宋_GBK"/>
              </w:rPr>
            </w:pPr>
            <w:r>
              <w:rPr>
                <w:rFonts w:ascii="方正书宋_GBK" w:eastAsia="方正书宋_GBK"/>
              </w:rPr>
              <w:t>4</w:t>
            </w:r>
          </w:p>
        </w:tc>
        <w:tc>
          <w:tcPr>
            <w:tcW w:w="316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vAlign w:val="center"/>
          </w:tcPr>
          <w:p>
            <w:pPr>
              <w:spacing w:line="300" w:lineRule="exact"/>
              <w:jc w:val="center"/>
              <w:rPr>
                <w:rFonts w:ascii="方正书宋_GBK" w:hAnsi="方正书宋_GBK"/>
              </w:rPr>
            </w:pPr>
            <w:r>
              <w:rPr>
                <w:rFonts w:ascii="方正书宋_GBK" w:hAnsi="方正书宋_GBK"/>
              </w:rPr>
              <w:t>0</w:t>
            </w:r>
          </w:p>
        </w:tc>
        <w:tc>
          <w:tcPr>
            <w:tcW w:w="3163" w:type="dxa"/>
            <w:vAlign w:val="center"/>
          </w:tcPr>
          <w:p>
            <w:pPr>
              <w:spacing w:line="300" w:lineRule="exact"/>
              <w:jc w:val="right"/>
              <w:rPr>
                <w:rFonts w:ascii="方正书宋_GBK" w:hAnsi="方正书宋_GBK"/>
              </w:rPr>
            </w:pPr>
            <w:r>
              <w:rPr>
                <w:rFonts w:ascii="方正书宋_GBK" w:hAnsi="方正书宋_GBK"/>
              </w:rPr>
              <w:t>0</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vAlign w:val="center"/>
          </w:tcPr>
          <w:p>
            <w:pPr>
              <w:spacing w:line="300" w:lineRule="exact"/>
              <w:jc w:val="center"/>
              <w:rPr>
                <w:rFonts w:ascii="方正书宋_GBK" w:eastAsia="方正书宋_GBK"/>
              </w:rPr>
            </w:pPr>
            <w:r>
              <w:rPr>
                <w:rFonts w:ascii="方正书宋_GBK" w:eastAsia="方正书宋_GBK"/>
              </w:rPr>
              <w:t>80</w:t>
            </w:r>
          </w:p>
        </w:tc>
        <w:tc>
          <w:tcPr>
            <w:tcW w:w="3163" w:type="dxa"/>
            <w:vAlign w:val="center"/>
          </w:tcPr>
          <w:p>
            <w:pPr>
              <w:spacing w:line="300" w:lineRule="exact"/>
              <w:jc w:val="right"/>
              <w:rPr>
                <w:rFonts w:ascii="方正书宋_GBK" w:eastAsia="方正书宋_GBK"/>
              </w:rPr>
            </w:pPr>
            <w:r>
              <w:rPr>
                <w:rFonts w:ascii="方正书宋_GBK" w:eastAsia="方正书宋_GBK"/>
              </w:rPr>
              <w:t>2</w:t>
            </w:r>
            <w:r>
              <w:rPr>
                <w:rFonts w:ascii="方正书宋_GBK" w:eastAsia="方正书宋_GBK"/>
                <w:lang w:eastAsia="zh-CN"/>
              </w:rPr>
              <w:t>.40</w:t>
            </w:r>
          </w:p>
        </w:tc>
      </w:tr>
    </w:tbl>
    <w:p>
      <w:pPr>
        <w:spacing w:before="10" w:after="10"/>
        <w:ind w:firstLine="640"/>
        <w:outlineLvl w:val="2"/>
        <w:rPr>
          <w:rFonts w:ascii="黑体" w:eastAsia="黑体" w:cs="黑体"/>
          <w:color w:val="000000"/>
          <w:sz w:val="32"/>
          <w:lang w:eastAsia="zh-CN"/>
        </w:rPr>
      </w:pPr>
    </w:p>
    <w:p>
      <w:pPr>
        <w:spacing w:before="10" w:after="10"/>
        <w:ind w:firstLine="640"/>
        <w:outlineLvl w:val="2"/>
        <w:rPr>
          <w:rFonts w:ascii="黑体" w:eastAsia="黑体" w:cs="黑体"/>
          <w:color w:val="000000"/>
          <w:sz w:val="32"/>
          <w:lang w:eastAsia="zh-CN"/>
        </w:rPr>
      </w:pPr>
    </w:p>
    <w:p>
      <w:pPr>
        <w:spacing w:before="10" w:after="10"/>
        <w:ind w:firstLine="640"/>
        <w:outlineLvl w:val="2"/>
      </w:pPr>
      <w:r>
        <w:rPr>
          <w:rFonts w:hint="eastAsia"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eastAsia="方正仿宋_GBK"/>
          <w:color w:val="000000"/>
          <w:sz w:val="28"/>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eastAsia="方正仿宋_GBK"/>
          <w:color w:val="000000"/>
          <w:sz w:val="28"/>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eastAsia="方正仿宋_GBK"/>
          <w:color w:val="000000"/>
          <w:sz w:val="28"/>
        </w:rPr>
        <w:t>县</w:t>
      </w:r>
      <w:r>
        <w:rPr>
          <w:rFonts w:hint="eastAsia" w:eastAsia="方正仿宋_GBK"/>
          <w:color w:val="000000"/>
          <w:sz w:val="28"/>
        </w:rPr>
        <w:t>级</w:t>
      </w:r>
      <w:r>
        <w:rPr>
          <w:rFonts w:eastAsia="方正仿宋_GBK"/>
          <w:color w:val="000000"/>
          <w:sz w:val="28"/>
        </w:rPr>
        <w:t>单位</w:t>
      </w:r>
      <w:r>
        <w:rPr>
          <w:rFonts w:hint="eastAsia" w:eastAsia="方正仿宋_GBK"/>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w:t>
      </w:r>
      <w:r>
        <w:rPr>
          <w:rFonts w:eastAsia="方正仿宋_GBK"/>
          <w:color w:val="000000"/>
          <w:sz w:val="28"/>
        </w:rPr>
        <w:t>单位</w:t>
      </w:r>
      <w:r>
        <w:rPr>
          <w:rFonts w:hint="eastAsia"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rPr>
          <w:rFonts w:ascii="黑体" w:eastAsia="黑体" w:cs="黑体"/>
          <w:color w:val="000000"/>
          <w:sz w:val="32"/>
          <w:lang w:eastAsia="zh-CN"/>
        </w:rPr>
      </w:pPr>
      <w:bookmarkStart w:id="17" w:name="_Toc_3_3_0000000018"/>
    </w:p>
    <w:p>
      <w:pPr>
        <w:spacing w:before="10" w:after="10"/>
        <w:ind w:firstLine="640"/>
        <w:outlineLvl w:val="2"/>
      </w:pPr>
      <w:r>
        <w:rPr>
          <w:rFonts w:hint="eastAsia" w:asci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pgNumType w:fmt="decimal"/>
          <w:cols w:space="720" w:num="1"/>
          <w:docGrid w:linePitch="326"/>
        </w:sectPr>
      </w:pPr>
      <w:r>
        <w:rPr>
          <w:rFonts w:hint="eastAsia" w:eastAsia="方正仿宋_GBK"/>
          <w:color w:val="000000"/>
          <w:sz w:val="28"/>
        </w:rPr>
        <w:t>我</w:t>
      </w:r>
      <w:r>
        <w:rPr>
          <w:rFonts w:eastAsia="方正仿宋_GBK"/>
          <w:color w:val="000000"/>
          <w:sz w:val="28"/>
        </w:rPr>
        <w:t>单位</w:t>
      </w:r>
      <w:r>
        <w:rPr>
          <w:rFonts w:hint="eastAsia" w:eastAsia="方正仿宋_GBK"/>
          <w:color w:val="000000"/>
          <w:sz w:val="28"/>
        </w:rPr>
        <w:t>无其他需要说明的事项</w:t>
      </w:r>
      <w:r>
        <w:rPr>
          <w:rFonts w:hint="eastAsia" w:eastAsia="方正仿宋_GBK"/>
          <w:color w:val="000000"/>
          <w:sz w:val="28"/>
          <w:lang w:eastAsia="zh-CN"/>
        </w:rPr>
        <w:t>。</w:t>
      </w:r>
    </w:p>
    <w:p>
      <w:pPr>
        <w:rPr>
          <w:lang w:eastAsia="zh-CN"/>
        </w:rPr>
      </w:pPr>
    </w:p>
    <w:sectPr>
      <w:pgSz w:w="16840" w:h="11900" w:orient="landscape"/>
      <w:pgMar w:top="1361" w:right="1020" w:bottom="1134" w:left="1020" w:header="720" w:footer="720" w:gutter="0"/>
      <w:pgNumType w:fmt="decimal"/>
      <w:cols w:space="720" w:num="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宋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10" w:usb3="00000000" w:csb0="00040000" w:csb1="00000000"/>
  </w:font>
  <w:font w:name="方正楷体_GB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ascii="Times New Roman" w:hAnsi="Times New Roman" w:eastAsia="宋体" w:cs="Times New Roman"/>
        <w:kern w:val="0"/>
        <w:sz w:val="24"/>
        <w:szCs w:val="24"/>
        <w:lang w:val="en-US" w:bidi="ar-SA"/>
      </w:rPr>
      <w:pict>
        <v:shape id="_x0000_s4097"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jc w:val="right"/>
                </w:pPr>
                <w:r>
                  <w:fldChar w:fldCharType="begin"/>
                </w:r>
                <w:r>
                  <w:instrText xml:space="preserve">PAGE "page number"</w:instrText>
                </w:r>
                <w:r>
                  <w:fldChar w:fldCharType="separate"/>
                </w:r>
                <w: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Times New Roman" w:hAnsi="Times New Roman" w:eastAsia="宋体" w:cs="Times New Roman"/>
        <w:kern w:val="0"/>
        <w:sz w:val="24"/>
        <w:szCs w:val="24"/>
        <w:lang w:val="en-US" w:bidi="ar-SA"/>
      </w:rPr>
      <w:pict>
        <v:shape id="_x0000_s4098" o:spid="_x0000_s1026" type="#_x0000_t202" style="position:absolute;left:0;margin-top:0pt;height:144pt;width:144pt;mso-position-horizontal:right;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r>
                  <w:fldChar w:fldCharType="begin"/>
                </w:r>
                <w:r>
                  <w:instrText xml:space="preserve">PAGE "page number"</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03526342">
    <w:nsid w:val="53A81CC6"/>
    <w:multiLevelType w:val="multilevel"/>
    <w:tmpl w:val="53A81CC6"/>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865706312">
    <w:nsid w:val="6F346B48"/>
    <w:multiLevelType w:val="multilevel"/>
    <w:tmpl w:val="6F346B48"/>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1865706312"/>
  </w:num>
  <w:num w:numId="2">
    <w:abstractNumId w:val="14035263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haracterSpacingControl w:val="compressPunctuation"/>
  <w:noLineBreaksAfter w:lang="zh-CN" w:val="$([{£¥·‘“〈《「『【〔〖〝﹙﹛﹝＄（．［｛￡￥"/>
  <w:noLineBreaksBefore w:lang="zh-CN" w:val="!%),.:;&gt;?]}¢¨°·ˇˉ―‖’”…‰′″›℃∶、。〃〉》」』】〕〗〞︶︺︾﹀﹄﹚﹜﹞！＂％＇），．：；？］｀｜｝～￠"/>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Times New Roman" w:hAnsi="Times New Roman" w:eastAsia="宋体" w:cs="Times New Roman"/>
      <w:kern w:val="0"/>
      <w:sz w:val="24"/>
      <w:szCs w:val="24"/>
      <w:lang w:val="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paragraph" w:styleId="5">
    <w:name w:val="toc 3"/>
    <w:basedOn w:val="1"/>
    <w:next w:val="1"/>
    <w:qFormat/>
    <w:uiPriority w:val="0"/>
    <w:pPr>
      <w:ind w:left="48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before="120"/>
      <w:ind w:firstLine="560"/>
    </w:pPr>
    <w:rPr>
      <w:rFonts w:eastAsia="方正仿宋_GBK"/>
      <w:color w:val="000000"/>
      <w:sz w:val="28"/>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paragraph" w:customStyle="1" w:styleId="11">
    <w:name w:val="单元格样式22"/>
    <w:basedOn w:val="1"/>
    <w:qFormat/>
    <w:uiPriority w:val="0"/>
    <w:pPr>
      <w:jc w:val="right"/>
    </w:pPr>
    <w:rPr>
      <w:rFonts w:ascii="方正小标宋_GBK" w:eastAsia="方正小标宋_GBK" w:cs="方正小标宋_GBK"/>
    </w:rPr>
  </w:style>
  <w:style w:type="paragraph" w:customStyle="1" w:styleId="12">
    <w:name w:val="单元格样式21"/>
    <w:basedOn w:val="1"/>
    <w:qFormat/>
    <w:uiPriority w:val="0"/>
    <w:pPr>
      <w:jc w:val="center"/>
    </w:pPr>
    <w:rPr>
      <w:rFonts w:ascii="方正小标宋_GBK" w:eastAsia="方正小标宋_GBK" w:cs="方正小标宋_GBK"/>
    </w:rPr>
  </w:style>
  <w:style w:type="paragraph" w:customStyle="1" w:styleId="13">
    <w:name w:val="单元格样式20"/>
    <w:basedOn w:val="1"/>
    <w:qFormat/>
    <w:uiPriority w:val="0"/>
    <w:rPr>
      <w:rFonts w:ascii="方正小标宋_GBK" w:eastAsia="方正小标宋_GBK" w:cs="方正小标宋_GBK"/>
    </w:rPr>
  </w:style>
  <w:style w:type="paragraph" w:customStyle="1" w:styleId="14">
    <w:name w:val="单元格样式1"/>
    <w:basedOn w:val="1"/>
    <w:qFormat/>
    <w:uiPriority w:val="0"/>
    <w:pPr>
      <w:jc w:val="center"/>
    </w:pPr>
    <w:rPr>
      <w:rFonts w:ascii="方正书宋_GBK" w:eastAsia="方正书宋_GBK" w:cs="方正书宋_GBK"/>
      <w:b/>
      <w:sz w:val="21"/>
    </w:rPr>
  </w:style>
  <w:style w:type="paragraph" w:customStyle="1" w:styleId="15">
    <w:name w:val="单元格样式4"/>
    <w:basedOn w:val="1"/>
    <w:qFormat/>
    <w:uiPriority w:val="0"/>
    <w:pPr>
      <w:jc w:val="right"/>
    </w:pPr>
    <w:rPr>
      <w:rFonts w:ascii="方正书宋_GBK" w:eastAsia="方正书宋_GBK" w:cs="方正书宋_GBK"/>
      <w:sz w:val="21"/>
    </w:rPr>
  </w:style>
  <w:style w:type="paragraph" w:customStyle="1" w:styleId="16">
    <w:name w:val="单元格样式2"/>
    <w:basedOn w:val="1"/>
    <w:qFormat/>
    <w:uiPriority w:val="0"/>
    <w:rPr>
      <w:rFonts w:ascii="方正书宋_GBK" w:eastAsia="方正书宋_GBK" w:cs="方正书宋_GBK"/>
      <w:sz w:val="21"/>
    </w:rPr>
  </w:style>
  <w:style w:type="paragraph" w:customStyle="1" w:styleId="17">
    <w:name w:val="单元格样式3"/>
    <w:basedOn w:val="1"/>
    <w:qFormat/>
    <w:uiPriority w:val="0"/>
    <w:pPr>
      <w:jc w:val="center"/>
    </w:pPr>
    <w:rPr>
      <w:rFonts w:ascii="方正书宋_GBK" w:eastAsia="方正书宋_GBK" w:cs="方正书宋_GBK"/>
      <w:sz w:val="21"/>
    </w:rPr>
  </w:style>
  <w:style w:type="paragraph" w:customStyle="1" w:styleId="18">
    <w:name w:val="单元格样式6"/>
    <w:basedOn w:val="1"/>
    <w:qFormat/>
    <w:uiPriority w:val="0"/>
    <w:pPr>
      <w:jc w:val="center"/>
    </w:pPr>
    <w:rPr>
      <w:rFonts w:ascii="方正书宋_GBK" w:eastAsia="方正书宋_GBK" w:cs="方正书宋_GBK"/>
      <w:b/>
      <w:sz w:val="21"/>
    </w:rPr>
  </w:style>
  <w:style w:type="paragraph" w:customStyle="1" w:styleId="19">
    <w:name w:val="单元格样式7"/>
    <w:basedOn w:val="1"/>
    <w:qFormat/>
    <w:uiPriority w:val="0"/>
    <w:pPr>
      <w:jc w:val="right"/>
    </w:pPr>
    <w:rPr>
      <w:rFonts w:ascii="方正书宋_GBK" w:eastAsia="方正书宋_GBK" w:cs="方正书宋_GBK"/>
      <w:b/>
      <w:sz w:val="21"/>
    </w:rPr>
  </w:style>
  <w:style w:type="paragraph" w:customStyle="1" w:styleId="20">
    <w:name w:val="单元格样式5"/>
    <w:basedOn w:val="1"/>
    <w:qFormat/>
    <w:uiPriority w:val="0"/>
    <w:rPr>
      <w:rFonts w:asci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Normal_a00c99c4-4fe2-4f4c-8de8-c9a871d187bf"/>
    <w:qFormat/>
    <w:uiPriority w:val="0"/>
    <w:rPr>
      <w:rFonts w:ascii="Times New Roman" w:hAnsi="Times New Roman" w:eastAsia="宋体" w:cs="Times New Roman"/>
      <w:kern w:val="0"/>
      <w:sz w:val="24"/>
      <w:szCs w:val="24"/>
      <w:lang w:val="en-US" w:bidi="ar-SA"/>
    </w:rPr>
  </w:style>
  <w:style w:type="paragraph" w:customStyle="1" w:styleId="29">
    <w:name w:val="单元格样式1_77f87bed-2a9e-4f68-8bff-1137a66ae466"/>
    <w:basedOn w:val="1"/>
    <w:qFormat/>
    <w:uiPriority w:val="0"/>
    <w:pPr>
      <w:jc w:val="center"/>
    </w:pPr>
    <w:rPr>
      <w:rFonts w:ascii="方正书宋_GBK" w:eastAsia="方正书宋_GBK" w:cs="方正书宋_GBK"/>
      <w:b/>
      <w:sz w:val="21"/>
    </w:rPr>
  </w:style>
  <w:style w:type="paragraph" w:customStyle="1" w:styleId="30">
    <w:name w:val="单元格样式2_a3e90685-fa3a-41ba-aad6-eb510fc4a57f"/>
    <w:basedOn w:val="1"/>
    <w:qFormat/>
    <w:uiPriority w:val="0"/>
    <w:rPr>
      <w:rFonts w:ascii="方正书宋_GBK" w:eastAsia="方正书宋_GBK" w:cs="方正书宋_GBK"/>
      <w:sz w:val="21"/>
    </w:rPr>
  </w:style>
  <w:style w:type="paragraph" w:customStyle="1" w:styleId="31">
    <w:name w:val="单元格样式3_46969a7b-3323-4feb-8465-378d45b23a48"/>
    <w:basedOn w:val="1"/>
    <w:qFormat/>
    <w:uiPriority w:val="0"/>
    <w:pPr>
      <w:jc w:val="center"/>
    </w:pPr>
    <w:rPr>
      <w:rFonts w:ascii="方正书宋_GBK" w:eastAsia="方正书宋_GBK" w:cs="方正书宋_GBK"/>
      <w:sz w:val="21"/>
    </w:rPr>
  </w:style>
  <w:style w:type="paragraph" w:customStyle="1" w:styleId="32">
    <w:name w:val="单元格样式23"/>
    <w:basedOn w:val="1"/>
    <w:qFormat/>
    <w:uiPriority w:val="0"/>
    <w:pPr>
      <w:jc w:val="right"/>
    </w:pPr>
    <w:rPr>
      <w:rFonts w:asci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26</Pages>
  <Words>7287</Words>
  <Characters>8790</Characters>
  <Lines>1686</Lines>
  <Paragraphs>1004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2022-02-11T10:42:00Z</dcterms:created>
  <dc:creator>Administrator</dc:creator>
  <cp:lastModifiedBy>Lenovo</cp:lastModifiedBy>
  <dcterms:modified xsi:type="dcterms:W3CDTF">2024-05-31T08:58:25Z</dcterms:modified>
  <dc:title>2022年单位预算信息公开目录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BA0CC4868D1441379D5AC4B5469D6407_12</vt:lpwstr>
  </property>
</Properties>
</file>