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charts/colors1.xml" ContentType="application/vnd.ms-office.chartcolorstyle+xml"/>
  <Override PartName="/word/charts/colors2.xml" ContentType="application/vnd.ms-office.chartcolorstyle+xml"/>
  <Override PartName="/word/charts/colors3.xml" ContentType="application/vnd.ms-office.chartcolorstyle+xml"/>
  <Override PartName="/word/charts/colors4.xml" ContentType="application/vnd.ms-office.chartcolorstyle+xml"/>
  <Override PartName="/word/charts/colors5.xml" ContentType="application/vnd.ms-office.chartcolorstyle+xml"/>
  <Override PartName="/word/charts/style1.xml" ContentType="application/vnd.ms-office.chartstyle+xml"/>
  <Override PartName="/word/charts/style2.xml" ContentType="application/vnd.ms-office.chartstyle+xml"/>
  <Override PartName="/word/charts/style3.xml" ContentType="application/vnd.ms-office.chartstyle+xml"/>
  <Override PartName="/word/charts/style4.xml" ContentType="application/vnd.ms-office.chartstyle+xml"/>
  <Override PartName="/word/charts/style5.xml" ContentType="application/vnd.ms-office.chartstyle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</w:rPr>
      </w:pP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</w:rPr>
        <w:t>高阳县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  <w:lang w:val="en-US" w:eastAsia="zh-CN"/>
        </w:rPr>
        <w:t>2022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</w:rPr>
        <w:t>年国民经济和社会发展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</w:rPr>
        <w:t>统计公报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0" w:firstLineChars="200"/>
        <w:jc w:val="both"/>
        <w:textAlignment w:val="auto"/>
        <w:rPr>
          <w:rFonts w:hint="eastAsia" w:ascii="仿宋" w:hAnsi="仿宋" w:eastAsia="仿宋" w:cs="仿宋"/>
          <w:sz w:val="44"/>
          <w:szCs w:val="44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2022年是党的二十大召开之年，面对复杂多变的经济形势，县委、县政府敏锐判断、牢牢把握“稳中求进”的工作总基调，高效统筹疫情防控和经济社会发展，推动全县经济实现质的稳步提升和量的合理增长，经济总量再上新台阶，人民生活水平持续改善，高质量发展取得新成就。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firstLine="643" w:firstLineChars="200"/>
        <w:jc w:val="both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i w:val="0"/>
          <w:iCs w:val="0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一、综合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jc w:val="both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auto"/>
          <w:spacing w:val="0"/>
          <w:kern w:val="0"/>
          <w:sz w:val="32"/>
          <w:szCs w:val="32"/>
          <w:shd w:val="clear" w:color="auto" w:fill="auto"/>
          <w:lang w:val="en-US" w:eastAsia="zh-CN" w:bidi="ar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auto"/>
          <w:spacing w:val="0"/>
          <w:kern w:val="0"/>
          <w:sz w:val="32"/>
          <w:szCs w:val="32"/>
          <w:shd w:val="clear" w:color="auto" w:fill="auto"/>
          <w:lang w:val="en-US" w:eastAsia="zh-CN" w:bidi="ar"/>
        </w:rPr>
        <w:t>经初步核算，全县地区生产总值完成1221091万元，同比增长4.2%。其中，第一产业增加值完成78171万元，同比增长5.9%；第二产业增加值完成595780万元，同比增长3.9%；第三产业增加值完成547140万元，同比增长4.2%。与去年相比，一产增加值增速提高了3.8个百分点，二、三产增加值增速分别下降了4.1、2.8个百分点。一、二、三产业结构比为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6.4:48.8:44.8</w:t>
      </w:r>
      <w:r>
        <w:rPr>
          <w:rFonts w:hint="eastAsia" w:ascii="仿宋" w:hAnsi="仿宋" w:eastAsia="仿宋" w:cs="仿宋"/>
          <w:i w:val="0"/>
          <w:iCs w:val="0"/>
          <w:caps w:val="0"/>
          <w:color w:val="auto"/>
          <w:spacing w:val="0"/>
          <w:kern w:val="0"/>
          <w:sz w:val="32"/>
          <w:szCs w:val="32"/>
          <w:shd w:val="clear" w:color="auto" w:fill="auto"/>
          <w:lang w:val="en-US" w:eastAsia="zh-CN" w:bidi="ar"/>
        </w:rPr>
        <w:t>，与去年相比，一产占比提高0.6个百分点，二产占比保持不变，三产占比下降0.6个百分点。</w:t>
      </w:r>
    </w:p>
    <w:p>
      <w:pPr>
        <w:pStyle w:val="2"/>
        <w:ind w:left="0" w:leftChars="0" w:firstLine="0" w:firstLineChars="0"/>
        <w:jc w:val="center"/>
        <w:rPr>
          <w:rFonts w:hint="eastAsia"/>
          <w:lang w:val="en-US" w:eastAsia="zh-CN"/>
        </w:rPr>
      </w:pPr>
      <w:r>
        <w:drawing>
          <wp:inline distT="0" distB="0" distL="114300" distR="114300">
            <wp:extent cx="5269865" cy="2996565"/>
            <wp:effectExtent l="0" t="0" r="0" b="0"/>
            <wp:docPr id="3" name="图表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630" w:firstLineChars="300"/>
        <w:jc w:val="both"/>
        <w:textAlignment w:val="auto"/>
        <w:outlineLvl w:val="9"/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</w:pPr>
      <w: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173990</wp:posOffset>
            </wp:positionH>
            <wp:positionV relativeFrom="paragraph">
              <wp:posOffset>2159635</wp:posOffset>
            </wp:positionV>
            <wp:extent cx="5191125" cy="2839720"/>
            <wp:effectExtent l="0" t="0" r="0" b="0"/>
            <wp:wrapSquare wrapText="bothSides"/>
            <wp:docPr id="2" name="图表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anchor>
        </w:drawing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eastAsia="zh-CN"/>
        </w:rPr>
        <w:t>按户籍口径统计，年末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全县总户数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120240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户，总人口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322329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人。其中，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eastAsia="zh-CN"/>
        </w:rPr>
        <w:t>城镇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人口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120045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人，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eastAsia="zh-CN"/>
        </w:rPr>
        <w:t>乡村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人口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202284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人。在总人口中，男性人口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163603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人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eastAsia="zh-CN"/>
        </w:rPr>
        <w:t>，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女性人口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158726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人，性别比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为103.1:100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。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eastAsia="zh-CN"/>
        </w:rPr>
        <w:t>按常住人口统计，年末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常住人口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312371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人，其中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eastAsia="zh-CN"/>
        </w:rPr>
        <w:t>居住在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城镇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eastAsia="zh-CN"/>
        </w:rPr>
        <w:t>的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人口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eastAsia="zh-CN"/>
        </w:rPr>
        <w:t>为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154126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人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eastAsia="zh-CN"/>
        </w:rPr>
        <w:t>，居住在乡村的人口为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158245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eastAsia="zh-CN"/>
        </w:rPr>
        <w:t>人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,城镇化率为49.3%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。</w:t>
      </w:r>
    </w:p>
    <w:p>
      <w:pPr>
        <w:pStyle w:val="2"/>
        <w:ind w:left="0" w:leftChars="0" w:firstLine="0" w:firstLineChars="0"/>
        <w:jc w:val="center"/>
        <w:rPr>
          <w:rFonts w:hint="default"/>
          <w:lang w:val="en-US" w:eastAsia="zh-CN"/>
        </w:rPr>
      </w:pP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jc w:val="both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 </w:t>
      </w:r>
      <w:r>
        <w:rPr>
          <w:rFonts w:hint="eastAsia" w:ascii="黑体" w:hAnsi="黑体" w:eastAsia="黑体" w:cs="黑体"/>
          <w:b/>
          <w:bCs/>
          <w:i w:val="0"/>
          <w:iCs w:val="0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二、农业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</w:pP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全县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农、林、牧、渔业总产值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完成141164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万元，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eastAsia="zh-CN"/>
        </w:rPr>
        <w:t>同比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增长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6.1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%。其中，农业产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值完成82876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万元，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eastAsia="zh-CN"/>
        </w:rPr>
        <w:t>同比增长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9.5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%；林业产值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完成710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万元，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eastAsia="zh-CN"/>
        </w:rPr>
        <w:t>同比下降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22.8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%；牧业产值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完成35858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万元，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eastAsia="zh-CN"/>
        </w:rPr>
        <w:t>同比增长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0.6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%；渔业产值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eastAsia="zh-CN"/>
        </w:rPr>
        <w:t>为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0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，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eastAsia="zh-CN"/>
        </w:rPr>
        <w:t>同比下降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100.0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%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eastAsia="zh-CN"/>
        </w:rPr>
        <w:t>；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农林牧渔服务业产值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完成21720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万元，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eastAsia="zh-CN"/>
        </w:rPr>
        <w:t>同比增长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5.4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%。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default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/>
        </w:rPr>
      </w:pP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全县粮食播种面积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共32014公顷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，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eastAsia="zh-CN"/>
        </w:rPr>
        <w:t>同比增长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2.4%；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粮食总产量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共193934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吨，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eastAsia="zh-CN"/>
        </w:rPr>
        <w:t>同比增长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1.8%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。其中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eastAsia="zh-CN"/>
        </w:rPr>
        <w:t>：夏粮播种面积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共13935公顷，同比增长1.3%；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eastAsia="zh-CN"/>
        </w:rPr>
        <w:t>产量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共82588吨，同比增长1.4%；秋粮播种面积共18080公顷，同比增长3.2%；产量共111347吨，同比增长2.1%。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textAlignment w:val="auto"/>
        <w:outlineLvl w:val="9"/>
        <w:rPr>
          <w:rFonts w:hint="eastAsia"/>
        </w:rPr>
      </w:pPr>
      <w: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180975</wp:posOffset>
            </wp:positionH>
            <wp:positionV relativeFrom="paragraph">
              <wp:posOffset>179705</wp:posOffset>
            </wp:positionV>
            <wp:extent cx="5389880" cy="2971165"/>
            <wp:effectExtent l="0" t="0" r="0" b="0"/>
            <wp:wrapSquare wrapText="bothSides"/>
            <wp:docPr id="7" name="图表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anchor>
        </w:drawing>
      </w:r>
      <w:r>
        <w:rPr>
          <w:rFonts w:hint="eastAsia"/>
          <w:lang w:val="en-US" w:eastAsia="zh-CN"/>
        </w:rPr>
        <w:t xml:space="preserve">      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小麦播种面积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13935公顷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，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eastAsia="zh-CN"/>
        </w:rPr>
        <w:t>同比增长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1.3%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eastAsia="zh-CN"/>
        </w:rPr>
        <w:t>；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产量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82588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吨，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eastAsia="zh-CN"/>
        </w:rPr>
        <w:t>同比增长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1.4%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eastAsia="zh-CN"/>
        </w:rPr>
        <w:t>。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玉米播种面积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17420公顷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，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eastAsia="zh-CN"/>
        </w:rPr>
        <w:t>同比增长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2.6%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eastAsia="zh-CN"/>
        </w:rPr>
        <w:t>；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产量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108727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吨，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eastAsia="zh-CN"/>
        </w:rPr>
        <w:t>同比增长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2.7%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。蔬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eastAsia="zh-CN"/>
        </w:rPr>
        <w:t>菜及食用菌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播种面积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1089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公顷，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eastAsia="zh-CN"/>
        </w:rPr>
        <w:t>同比增长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14.0%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eastAsia="zh-CN"/>
        </w:rPr>
        <w:t>；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蔬菜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eastAsia="zh-CN"/>
        </w:rPr>
        <w:t>及食用菌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产量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52436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吨，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eastAsia="zh-CN"/>
        </w:rPr>
        <w:t>同比增长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11.3%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。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eastAsia="zh-CN"/>
        </w:rPr>
        <w:t>麻山药等其他蔬菜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播种面积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491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公顷，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eastAsia="zh-CN"/>
        </w:rPr>
        <w:t>同比增长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18.6%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eastAsia="zh-CN"/>
        </w:rPr>
        <w:t>；麻山药等其他蔬菜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产量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20507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吨，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eastAsia="zh-CN"/>
        </w:rPr>
        <w:t>同比增长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26.0%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</w:pP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eastAsia="zh-CN"/>
        </w:rPr>
        <w:t>肉类总产量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8212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eastAsia="zh-CN"/>
        </w:rPr>
        <w:t>吨，同比下降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2.4%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eastAsia="zh-CN"/>
        </w:rPr>
        <w:t>。其中，猪肉产量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6379吨，同比下降2.8%；牛肉产量849吨，同比增长18.8%；羊肉产量468吨，同比下降2.3%；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eastAsia="zh-CN"/>
        </w:rPr>
        <w:t>禽蛋产量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4449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eastAsia="zh-CN"/>
        </w:rPr>
        <w:t>吨，同比增长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3.3%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eastAsia="zh-CN"/>
        </w:rPr>
        <w:t>。牛奶产量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6297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eastAsia="zh-CN"/>
        </w:rPr>
        <w:t>吨，同比增长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10.3%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eastAsia="zh-CN"/>
        </w:rPr>
        <w:t>。年末牛出栏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5100头，同比增长4.1%；猪出栏86389头，同比下降4.7%；羊出栏33502只，同比增长12.1%。</w:t>
      </w:r>
    </w:p>
    <w:p>
      <w:pPr>
        <w:pStyle w:val="2"/>
        <w:ind w:left="0" w:leftChars="0" w:firstLine="640" w:firstLineChars="200"/>
        <w:rPr>
          <w:rFonts w:hint="default" w:eastAsia="仿宋_GB2312"/>
          <w:shd w:val="clear" w:color="auto" w:fill="auto"/>
          <w:lang w:val="en-US" w:eastAsia="zh-CN"/>
        </w:rPr>
      </w:pP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2022年农业产业化经营率为64.5%，较去年下降8.8个百分点。</w:t>
      </w:r>
    </w:p>
    <w:p>
      <w:pPr>
        <w:pStyle w:val="2"/>
        <w:numPr>
          <w:ilvl w:val="0"/>
          <w:numId w:val="0"/>
        </w:numPr>
        <w:ind w:firstLine="640" w:firstLineChars="200"/>
        <w:rPr>
          <w:rFonts w:hint="eastAsia" w:ascii="黑体" w:hAnsi="黑体" w:eastAsia="黑体" w:cs="黑体"/>
          <w:color w:val="auto"/>
          <w:sz w:val="32"/>
          <w:szCs w:val="32"/>
          <w:highlight w:val="none"/>
          <w:lang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highlight w:val="none"/>
          <w:lang w:eastAsia="zh-CN"/>
        </w:rPr>
        <w:t>三、工业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eastAsia" w:ascii="仿宋_GB2312" w:eastAsia="仿宋_GB2312"/>
          <w:color w:val="FF0000"/>
          <w:sz w:val="32"/>
          <w:szCs w:val="32"/>
          <w:highlight w:val="none"/>
        </w:rPr>
      </w:pP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全县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工业增加值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完成567714万元，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eastAsia="zh-CN"/>
        </w:rPr>
        <w:t>同比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增长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3.4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%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eastAsia="zh-CN"/>
        </w:rPr>
        <w:t>；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规模以上工业企业增加值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完成381582万元，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同比增长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3.3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%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eastAsia="zh-CN"/>
        </w:rPr>
        <w:t>；规模以下工业企业增加值同比增长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5.4%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。</w:t>
      </w:r>
    </w:p>
    <w:p>
      <w:pPr>
        <w:pStyle w:val="2"/>
        <w:ind w:left="0" w:leftChars="0" w:firstLine="0" w:firstLineChars="0"/>
        <w:jc w:val="center"/>
        <w:rPr>
          <w:rFonts w:hint="eastAsia"/>
        </w:rPr>
      </w:pPr>
      <w:r>
        <w:drawing>
          <wp:inline distT="0" distB="0" distL="114300" distR="114300">
            <wp:extent cx="5441315" cy="3405505"/>
            <wp:effectExtent l="0" t="0" r="0" b="0"/>
            <wp:docPr id="4" name="图表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eastAsia" w:ascii="黑体" w:hAnsi="黑体" w:eastAsia="黑体" w:cs="黑体"/>
          <w:b w:val="0"/>
          <w:bCs/>
          <w:color w:val="auto"/>
          <w:sz w:val="32"/>
          <w:szCs w:val="32"/>
          <w:highlight w:val="none"/>
        </w:rPr>
      </w:pPr>
      <w:r>
        <w:rPr>
          <w:rFonts w:hint="eastAsia" w:ascii="黑体" w:hAnsi="黑体" w:eastAsia="黑体" w:cs="黑体"/>
          <w:b w:val="0"/>
          <w:bCs/>
          <w:color w:val="auto"/>
          <w:sz w:val="32"/>
          <w:szCs w:val="32"/>
          <w:highlight w:val="none"/>
        </w:rPr>
        <w:t>四、固定资产投资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jc w:val="both"/>
        <w:rPr>
          <w:color w:val="auto"/>
          <w:sz w:val="32"/>
          <w:szCs w:val="32"/>
          <w:highlight w:val="none"/>
          <w:shd w:val="clear" w:color="auto" w:fill="auto"/>
        </w:rPr>
      </w:pP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全县固定资产投资完成397967万元，同比增长10.1%，其中，建设项目投资完成346818万元，同比增长10.1%。房地产投资完成51149万元，同比增长10.0%。分产业看：第一产业投资同比增长11.3%；第二产业投资同比下降6.8%；第三产业投资同比增长27.7%。高技术工业技改投资同比增长47.7%，占固定资产投资的比重为3.6%，比去年下降7.2个百分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eastAsia" w:ascii="黑体" w:hAnsi="黑体" w:eastAsia="黑体" w:cs="黑体"/>
          <w:b w:val="0"/>
          <w:bCs/>
          <w:color w:val="auto"/>
          <w:sz w:val="32"/>
          <w:szCs w:val="32"/>
          <w:highlight w:val="none"/>
        </w:rPr>
      </w:pPr>
      <w:r>
        <w:rPr>
          <w:rFonts w:hint="eastAsia" w:ascii="黑体" w:hAnsi="黑体" w:eastAsia="黑体" w:cs="黑体"/>
          <w:b w:val="0"/>
          <w:bCs/>
          <w:color w:val="auto"/>
          <w:sz w:val="32"/>
          <w:szCs w:val="32"/>
          <w:highlight w:val="none"/>
        </w:rPr>
        <w:t>五、贸易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eastAsia" w:ascii="仿宋_GB2312" w:eastAsia="仿宋_GB2312"/>
          <w:color w:val="auto"/>
          <w:sz w:val="32"/>
          <w:szCs w:val="32"/>
        </w:rPr>
      </w:pP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全县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社会消费品零售额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eastAsia="zh-CN"/>
        </w:rPr>
        <w:t>完成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562036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万元，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eastAsia="zh-CN"/>
        </w:rPr>
        <w:t>同比增长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1.4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%。按规模划分：限上消费品零售额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完成37943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万元，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eastAsia="zh-CN"/>
        </w:rPr>
        <w:t>同比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增长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20.0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%；限下消费品零售额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完成524093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万元，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eastAsia="zh-CN"/>
        </w:rPr>
        <w:t>同比下降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0.2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%。按销售区域划分：城镇零售额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完成466848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万元，同比增长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1.1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%；乡村零售额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完成95188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万元，同比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eastAsia="zh-CN"/>
        </w:rPr>
        <w:t>增长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2.7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%。按行业划分：批发业销售额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完成266625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万元，同比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eastAsia="zh-CN"/>
        </w:rPr>
        <w:t>下降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2.9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%；零售业销售额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完成379058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万元，同比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eastAsia="zh-CN"/>
        </w:rPr>
        <w:t>增长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0.3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%；餐饮业营业额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完成41189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万元，同比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eastAsia="zh-CN"/>
        </w:rPr>
        <w:t>下降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1.1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%。</w:t>
      </w:r>
      <w:r>
        <w:rPr>
          <w:rFonts w:hint="eastAsia" w:ascii="仿宋_GB2312" w:eastAsia="仿宋_GB2312"/>
          <w:color w:val="auto"/>
          <w:sz w:val="32"/>
          <w:szCs w:val="32"/>
        </w:rPr>
        <w:t>限额以上批发零售业销售额</w:t>
      </w:r>
      <w:r>
        <w:rPr>
          <w:rFonts w:hint="eastAsia" w:ascii="仿宋_GB2312" w:eastAsia="仿宋_GB2312"/>
          <w:color w:val="auto"/>
          <w:sz w:val="32"/>
          <w:szCs w:val="32"/>
          <w:lang w:val="en-US" w:eastAsia="zh-CN"/>
        </w:rPr>
        <w:t>64489</w:t>
      </w:r>
      <w:r>
        <w:rPr>
          <w:rFonts w:hint="eastAsia" w:ascii="仿宋_GB2312" w:eastAsia="仿宋_GB2312"/>
          <w:color w:val="auto"/>
          <w:sz w:val="32"/>
          <w:szCs w:val="32"/>
        </w:rPr>
        <w:t>万元，同比</w:t>
      </w:r>
      <w:r>
        <w:rPr>
          <w:rFonts w:hint="eastAsia" w:ascii="仿宋_GB2312" w:eastAsia="仿宋_GB2312"/>
          <w:color w:val="auto"/>
          <w:sz w:val="32"/>
          <w:szCs w:val="32"/>
          <w:lang w:eastAsia="zh-CN"/>
        </w:rPr>
        <w:t>下降</w:t>
      </w:r>
      <w:r>
        <w:rPr>
          <w:rFonts w:hint="eastAsia" w:ascii="仿宋_GB2312" w:eastAsia="仿宋_GB2312"/>
          <w:color w:val="auto"/>
          <w:sz w:val="32"/>
          <w:szCs w:val="32"/>
          <w:lang w:val="en-US" w:eastAsia="zh-CN"/>
        </w:rPr>
        <w:t>0.5</w:t>
      </w:r>
      <w:r>
        <w:rPr>
          <w:rFonts w:hint="eastAsia" w:ascii="仿宋_GB2312" w:eastAsia="仿宋_GB2312"/>
          <w:color w:val="auto"/>
          <w:sz w:val="32"/>
          <w:szCs w:val="32"/>
        </w:rPr>
        <w:t>%；限额以上住宿餐饮业营业额</w:t>
      </w:r>
      <w:r>
        <w:rPr>
          <w:rFonts w:hint="eastAsia" w:ascii="仿宋_GB2312" w:eastAsia="仿宋_GB2312"/>
          <w:color w:val="auto"/>
          <w:sz w:val="32"/>
          <w:szCs w:val="32"/>
          <w:lang w:val="en-US" w:eastAsia="zh-CN"/>
        </w:rPr>
        <w:t>3463</w:t>
      </w:r>
      <w:r>
        <w:rPr>
          <w:rFonts w:hint="eastAsia" w:ascii="仿宋_GB2312" w:eastAsia="仿宋_GB2312"/>
          <w:color w:val="auto"/>
          <w:sz w:val="32"/>
          <w:szCs w:val="32"/>
        </w:rPr>
        <w:t>万元，同比增长</w:t>
      </w:r>
      <w:r>
        <w:rPr>
          <w:rFonts w:hint="eastAsia" w:ascii="仿宋_GB2312" w:eastAsia="仿宋_GB2312"/>
          <w:color w:val="auto"/>
          <w:sz w:val="32"/>
          <w:szCs w:val="32"/>
          <w:lang w:val="en-US" w:eastAsia="zh-CN"/>
        </w:rPr>
        <w:t>3.3</w:t>
      </w:r>
      <w:r>
        <w:rPr>
          <w:rFonts w:hint="eastAsia" w:ascii="仿宋_GB2312" w:eastAsia="仿宋_GB2312"/>
          <w:color w:val="auto"/>
          <w:sz w:val="32"/>
          <w:szCs w:val="32"/>
        </w:rPr>
        <w:t>%。</w:t>
      </w:r>
    </w:p>
    <w:p>
      <w:pPr>
        <w:pStyle w:val="2"/>
        <w:ind w:left="0" w:leftChars="0" w:firstLine="0" w:firstLineChars="0"/>
        <w:jc w:val="center"/>
        <w:rPr>
          <w:rFonts w:hint="eastAsia"/>
        </w:rPr>
      </w:pPr>
      <w:r>
        <w:drawing>
          <wp:inline distT="0" distB="0" distL="114300" distR="114300">
            <wp:extent cx="5269865" cy="3002280"/>
            <wp:effectExtent l="0" t="0" r="0" b="0"/>
            <wp:docPr id="8" name="图表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63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eastAsia" w:ascii="黑体" w:hAnsi="黑体" w:eastAsia="黑体" w:cs="黑体"/>
          <w:b w:val="0"/>
          <w:bCs/>
          <w:color w:val="auto"/>
          <w:sz w:val="32"/>
          <w:szCs w:val="32"/>
          <w:highlight w:val="none"/>
          <w:shd w:val="clear" w:color="auto" w:fill="auto"/>
        </w:rPr>
      </w:pPr>
      <w:r>
        <w:rPr>
          <w:rFonts w:hint="eastAsia" w:ascii="黑体" w:hAnsi="黑体" w:eastAsia="黑体" w:cs="黑体"/>
          <w:b w:val="0"/>
          <w:bCs/>
          <w:color w:val="auto"/>
          <w:sz w:val="32"/>
          <w:szCs w:val="32"/>
          <w:highlight w:val="none"/>
          <w:shd w:val="clear" w:color="auto" w:fill="auto"/>
          <w:lang w:eastAsia="zh-CN"/>
        </w:rPr>
        <w:t>六、</w:t>
      </w:r>
      <w:r>
        <w:rPr>
          <w:rFonts w:hint="eastAsia" w:ascii="黑体" w:hAnsi="黑体" w:eastAsia="黑体" w:cs="黑体"/>
          <w:b w:val="0"/>
          <w:bCs/>
          <w:color w:val="auto"/>
          <w:sz w:val="32"/>
          <w:szCs w:val="32"/>
          <w:highlight w:val="none"/>
          <w:shd w:val="clear" w:color="auto" w:fill="auto"/>
        </w:rPr>
        <w:t>电</w:t>
      </w:r>
      <w:r>
        <w:rPr>
          <w:rFonts w:hint="eastAsia" w:ascii="黑体" w:hAnsi="黑体" w:eastAsia="黑体" w:cs="黑体"/>
          <w:b w:val="0"/>
          <w:bCs/>
          <w:color w:val="auto"/>
          <w:sz w:val="32"/>
          <w:szCs w:val="32"/>
          <w:highlight w:val="none"/>
          <w:shd w:val="clear" w:color="auto" w:fill="auto"/>
          <w:lang w:eastAsia="zh-CN"/>
        </w:rPr>
        <w:t>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</w:pP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全社会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eastAsia="zh-CN"/>
        </w:rPr>
        <w:t>售电量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176861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万千瓦时，同比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eastAsia="zh-CN"/>
        </w:rPr>
        <w:t>下降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4.8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%。其中：工业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eastAsia="zh-CN"/>
        </w:rPr>
        <w:t>售电量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119801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万千瓦时，同比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eastAsia="zh-CN"/>
        </w:rPr>
        <w:t>下降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10.9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%；农业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eastAsia="zh-CN"/>
        </w:rPr>
        <w:t>售电量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4686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万千瓦时，同比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eastAsia="zh-CN"/>
        </w:rPr>
        <w:t>增长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13.2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%。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eastAsia" w:ascii="仿宋_GB2312" w:eastAsia="仿宋_GB2312"/>
          <w:b/>
          <w:color w:val="auto"/>
          <w:sz w:val="32"/>
          <w:szCs w:val="32"/>
          <w:highlight w:val="none"/>
          <w:shd w:val="clear" w:color="auto" w:fill="auto"/>
        </w:rPr>
      </w:pPr>
      <w:r>
        <w:rPr>
          <w:rFonts w:hint="eastAsia" w:ascii="黑体" w:hAnsi="黑体" w:eastAsia="黑体" w:cs="黑体"/>
          <w:b w:val="0"/>
          <w:bCs/>
          <w:color w:val="auto"/>
          <w:sz w:val="32"/>
          <w:szCs w:val="32"/>
          <w:highlight w:val="none"/>
          <w:shd w:val="clear" w:color="auto" w:fill="auto"/>
          <w:lang w:eastAsia="zh-CN"/>
        </w:rPr>
        <w:t>七</w:t>
      </w:r>
      <w:r>
        <w:rPr>
          <w:rFonts w:hint="eastAsia" w:ascii="黑体" w:hAnsi="黑体" w:eastAsia="黑体" w:cs="黑体"/>
          <w:b w:val="0"/>
          <w:bCs/>
          <w:color w:val="auto"/>
          <w:sz w:val="32"/>
          <w:szCs w:val="32"/>
          <w:highlight w:val="none"/>
          <w:shd w:val="clear" w:color="auto" w:fill="auto"/>
        </w:rPr>
        <w:t>、财政、金融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right="0" w:firstLine="640" w:firstLineChars="200"/>
        <w:jc w:val="both"/>
        <w:textAlignment w:val="baseline"/>
        <w:rPr>
          <w:rFonts w:hint="eastAsia" w:ascii="仿宋" w:hAnsi="仿宋" w:eastAsia="仿宋" w:cs="仿宋"/>
          <w:color w:val="auto"/>
          <w:sz w:val="32"/>
          <w:szCs w:val="32"/>
          <w:highlight w:val="none"/>
          <w:shd w:val="clear" w:color="auto" w:fill="auto"/>
          <w:lang w:val="en-US" w:eastAsia="zh-CN"/>
        </w:rPr>
      </w:pP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全县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一般公共预算收入</w:t>
      </w: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shd w:val="clear" w:color="auto" w:fill="auto"/>
          <w:lang w:eastAsia="zh-CN"/>
        </w:rPr>
        <w:t>完成</w:t>
      </w: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94353万元</w:t>
      </w: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shd w:val="clear" w:color="auto" w:fill="auto"/>
          <w:lang w:eastAsia="zh-CN"/>
        </w:rPr>
        <w:t>，</w:t>
      </w: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同比增长0.8%，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一般公共预算支出</w:t>
      </w: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shd w:val="clear" w:color="auto" w:fill="auto"/>
          <w:lang w:eastAsia="zh-CN"/>
        </w:rPr>
        <w:t>完成</w:t>
      </w: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283880万元,同比增长0.4%。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全部财政收入完成</w:t>
      </w: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126144万元，同比下降7.9%。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firstLine="640" w:firstLineChars="200"/>
        <w:jc w:val="both"/>
        <w:rPr>
          <w:rFonts w:hint="default" w:ascii="仿宋" w:hAnsi="仿宋" w:eastAsia="仿宋" w:cs="仿宋"/>
          <w:sz w:val="32"/>
          <w:szCs w:val="32"/>
          <w:highlight w:val="none"/>
          <w:shd w:val="clear" w:color="auto" w:fill="auto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全县金融机构</w:t>
      </w:r>
      <w:r>
        <w:rPr>
          <w:rFonts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  <w:highlight w:val="none"/>
          <w:shd w:val="clear" w:color="auto" w:fill="auto"/>
        </w:rPr>
        <w:t>存款余额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  <w:highlight w:val="none"/>
          <w:shd w:val="clear" w:color="auto" w:fill="auto"/>
          <w:lang w:val="en-US" w:eastAsia="zh-CN"/>
        </w:rPr>
        <w:t>完成3068239万</w:t>
      </w:r>
      <w:r>
        <w:rPr>
          <w:rFonts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  <w:highlight w:val="none"/>
          <w:shd w:val="clear" w:color="auto" w:fill="auto"/>
        </w:rPr>
        <w:t>元，比年初增长11.7%；金融机构贷款余额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  <w:highlight w:val="none"/>
          <w:shd w:val="clear" w:color="auto" w:fill="auto"/>
          <w:lang w:val="en-US" w:eastAsia="zh-CN"/>
        </w:rPr>
        <w:t>1073730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  <w:highlight w:val="none"/>
          <w:shd w:val="clear" w:color="auto" w:fill="auto"/>
          <w:lang w:eastAsia="zh-CN"/>
        </w:rPr>
        <w:t>万</w:t>
      </w:r>
      <w:r>
        <w:rPr>
          <w:rFonts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  <w:highlight w:val="none"/>
          <w:shd w:val="clear" w:color="auto" w:fill="auto"/>
        </w:rPr>
        <w:t>元，比年初增长15.5%；住户存款余额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  <w:highlight w:val="none"/>
          <w:shd w:val="clear" w:color="auto" w:fill="auto"/>
          <w:lang w:val="en-US" w:eastAsia="zh-CN"/>
        </w:rPr>
        <w:t>2561997万</w:t>
      </w:r>
      <w:r>
        <w:rPr>
          <w:rFonts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  <w:highlight w:val="none"/>
          <w:shd w:val="clear" w:color="auto" w:fill="auto"/>
        </w:rPr>
        <w:t>元；全县银行业金融机构余额存贷比为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  <w:highlight w:val="none"/>
          <w:shd w:val="clear" w:color="auto" w:fill="auto"/>
          <w:lang w:val="en-US" w:eastAsia="zh-CN"/>
        </w:rPr>
        <w:t>35.0</w:t>
      </w:r>
      <w:r>
        <w:rPr>
          <w:rFonts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  <w:highlight w:val="none"/>
          <w:shd w:val="clear" w:color="auto" w:fill="auto"/>
        </w:rPr>
        <w:t>%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  <w:highlight w:val="none"/>
          <w:shd w:val="clear" w:color="auto" w:fill="auto"/>
          <w:lang w:eastAsia="zh-CN"/>
        </w:rPr>
        <w:t>，新增存贷比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  <w:highlight w:val="none"/>
          <w:shd w:val="clear" w:color="auto" w:fill="auto"/>
          <w:lang w:val="en-US" w:eastAsia="zh-CN"/>
        </w:rPr>
        <w:t>13.7%</w:t>
      </w:r>
      <w:r>
        <w:rPr>
          <w:rFonts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  <w:highlight w:val="none"/>
          <w:shd w:val="clear" w:color="auto" w:fill="auto"/>
        </w:rPr>
        <w:t>。</w:t>
      </w:r>
    </w:p>
    <w:p>
      <w:pPr>
        <w:pStyle w:val="9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rPr>
          <w:rFonts w:hint="eastAsia" w:ascii="黑体" w:hAnsi="黑体" w:eastAsia="黑体" w:cs="黑体"/>
          <w:color w:val="auto"/>
          <w:sz w:val="32"/>
          <w:szCs w:val="32"/>
          <w:highlight w:val="none"/>
          <w:shd w:val="clear" w:color="auto" w:fill="auto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八、服务业</w:t>
      </w:r>
    </w:p>
    <w:p>
      <w:pPr>
        <w:pStyle w:val="9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rPr>
          <w:rFonts w:hint="eastAsia" w:ascii="仿宋" w:hAnsi="仿宋" w:eastAsia="仿宋" w:cs="仿宋"/>
          <w:color w:val="auto"/>
          <w:sz w:val="32"/>
          <w:szCs w:val="32"/>
          <w:highlight w:val="none"/>
          <w:shd w:val="clear" w:color="auto" w:fill="auto"/>
        </w:rPr>
      </w:pP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全县全年</w:t>
      </w:r>
      <w:r>
        <w:rPr>
          <w:rFonts w:hint="eastAsia" w:ascii="仿宋" w:hAnsi="仿宋" w:eastAsia="仿宋"/>
          <w:color w:val="auto"/>
          <w:sz w:val="32"/>
          <w:szCs w:val="32"/>
          <w:highlight w:val="none"/>
          <w:shd w:val="clear" w:color="auto" w:fill="auto"/>
        </w:rPr>
        <w:t>规模以上服务业企业</w:t>
      </w:r>
      <w:r>
        <w:rPr>
          <w:rFonts w:hint="eastAsia" w:ascii="仿宋" w:hAnsi="仿宋" w:eastAsia="仿宋"/>
          <w:color w:val="auto"/>
          <w:sz w:val="32"/>
          <w:szCs w:val="32"/>
          <w:highlight w:val="none"/>
          <w:shd w:val="clear" w:color="auto" w:fill="auto"/>
          <w:lang w:eastAsia="zh-CN"/>
        </w:rPr>
        <w:t>共</w:t>
      </w:r>
      <w:r>
        <w:rPr>
          <w:rFonts w:hint="eastAsia" w:ascii="仿宋" w:hAnsi="仿宋" w:eastAsia="仿宋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5家，</w:t>
      </w:r>
      <w:r>
        <w:rPr>
          <w:rFonts w:hint="eastAsia" w:ascii="仿宋" w:hAnsi="仿宋" w:eastAsia="仿宋"/>
          <w:color w:val="auto"/>
          <w:sz w:val="32"/>
          <w:szCs w:val="32"/>
          <w:highlight w:val="none"/>
          <w:shd w:val="clear" w:color="auto" w:fill="auto"/>
        </w:rPr>
        <w:t>实现营业收入</w:t>
      </w:r>
      <w:r>
        <w:rPr>
          <w:rFonts w:hint="eastAsia" w:ascii="仿宋" w:hAnsi="仿宋" w:eastAsia="仿宋" w:cs="仿宋"/>
          <w:sz w:val="32"/>
          <w:szCs w:val="32"/>
          <w:highlight w:val="none"/>
          <w:shd w:val="clear" w:color="auto" w:fill="auto"/>
          <w:lang w:val="en-US" w:eastAsia="zh-CN"/>
        </w:rPr>
        <w:t>22112万元，同比增长37.2%。其中：交通运输、仓储和邮政业实现营业收入12957万元，同比增长30.4%；教育行业实现营业收入2717万元，同比增长60.7%；房地产业（不含房地产开发企业）实现营业收入3875万元，同比增长8.3%；租赁和商务服务业实现营业收入2564万元，同比增长182.3%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eastAsia" w:ascii="仿宋" w:hAnsi="仿宋" w:eastAsia="仿宋" w:cs="仿宋"/>
          <w:sz w:val="32"/>
          <w:szCs w:val="32"/>
          <w:highlight w:val="none"/>
          <w:shd w:val="clear" w:color="auto" w:fill="auto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营业成本20756万元，同</w:t>
      </w:r>
      <w:r>
        <w:rPr>
          <w:rFonts w:hint="eastAsia" w:ascii="仿宋" w:hAnsi="仿宋" w:eastAsia="仿宋" w:cs="仿宋"/>
          <w:sz w:val="32"/>
          <w:szCs w:val="32"/>
          <w:highlight w:val="none"/>
          <w:shd w:val="clear" w:color="auto" w:fill="auto"/>
          <w:lang w:val="en-US" w:eastAsia="zh-CN"/>
        </w:rPr>
        <w:t>比增长42.6%；营业利润655万元，同比下降38.4%。</w:t>
      </w:r>
    </w:p>
    <w:p>
      <w:pPr>
        <w:ind w:firstLine="640" w:firstLineChars="200"/>
        <w:rPr>
          <w:rFonts w:hint="default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highlight w:val="none"/>
          <w:shd w:val="clear" w:color="auto" w:fill="auto"/>
          <w:lang w:val="en-US" w:eastAsia="zh-CN"/>
        </w:rPr>
        <w:t>用工人数291人，同比增长48.5%；应付职工薪酬2151万元，同比增长60.7%。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eastAsia" w:ascii="仿宋_GB2312" w:eastAsia="仿宋_GB2312"/>
          <w:b/>
          <w:color w:val="auto"/>
          <w:sz w:val="32"/>
          <w:szCs w:val="32"/>
          <w:highlight w:val="none"/>
          <w:shd w:val="clear" w:color="auto" w:fill="auto"/>
        </w:rPr>
      </w:pPr>
      <w:r>
        <w:rPr>
          <w:rFonts w:hint="eastAsia" w:ascii="黑体" w:hAnsi="黑体" w:eastAsia="黑体" w:cs="黑体"/>
          <w:b w:val="0"/>
          <w:bCs/>
          <w:color w:val="auto"/>
          <w:sz w:val="32"/>
          <w:szCs w:val="32"/>
          <w:highlight w:val="none"/>
          <w:shd w:val="clear" w:color="auto" w:fill="auto"/>
          <w:lang w:eastAsia="zh-CN"/>
        </w:rPr>
        <w:t>九</w:t>
      </w:r>
      <w:r>
        <w:rPr>
          <w:rFonts w:hint="eastAsia" w:ascii="黑体" w:hAnsi="黑体" w:eastAsia="黑体" w:cs="黑体"/>
          <w:b w:val="0"/>
          <w:bCs/>
          <w:color w:val="auto"/>
          <w:sz w:val="32"/>
          <w:szCs w:val="32"/>
          <w:highlight w:val="none"/>
          <w:shd w:val="clear" w:color="auto" w:fill="auto"/>
        </w:rPr>
        <w:t>、教育、卫生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</w:pP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全县拥有学校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97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所(不含幼儿园），其中：初中11所，高中3所，职业中学1所，小学81所，特殊教育1所，在校学生5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7047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</w:pP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全县政府公办医疗机构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共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14个。其中，县直医院3个，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共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拥有床位数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772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张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eastAsia="zh-CN"/>
        </w:rPr>
        <w:t>；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乡卫生院和社区卫生服务站11个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eastAsia="zh-CN"/>
        </w:rPr>
        <w:t>，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共拥有床位数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444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张。民营医院1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2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家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eastAsia="zh-CN"/>
        </w:rPr>
        <w:t>，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共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eastAsia="zh-CN"/>
        </w:rPr>
        <w:t>拥有床位数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594张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eastAsia" w:ascii="黑体" w:hAnsi="黑体" w:eastAsia="黑体" w:cs="黑体"/>
          <w:b w:val="0"/>
          <w:bCs/>
          <w:color w:val="auto"/>
          <w:sz w:val="32"/>
          <w:szCs w:val="32"/>
          <w:highlight w:val="none"/>
          <w:shd w:val="clear" w:color="auto" w:fill="auto"/>
        </w:rPr>
      </w:pPr>
      <w:r>
        <w:rPr>
          <w:rFonts w:hint="eastAsia" w:ascii="黑体" w:hAnsi="黑体" w:eastAsia="黑体" w:cs="黑体"/>
          <w:b w:val="0"/>
          <w:bCs/>
          <w:color w:val="auto"/>
          <w:sz w:val="32"/>
          <w:szCs w:val="32"/>
          <w:highlight w:val="none"/>
          <w:shd w:val="clear" w:color="auto" w:fill="auto"/>
          <w:lang w:eastAsia="zh-CN"/>
        </w:rPr>
        <w:t>十</w:t>
      </w:r>
      <w:r>
        <w:rPr>
          <w:rFonts w:hint="eastAsia" w:ascii="黑体" w:hAnsi="黑体" w:eastAsia="黑体" w:cs="黑体"/>
          <w:b w:val="0"/>
          <w:bCs/>
          <w:color w:val="auto"/>
          <w:sz w:val="32"/>
          <w:szCs w:val="32"/>
          <w:highlight w:val="none"/>
          <w:shd w:val="clear" w:color="auto" w:fill="auto"/>
        </w:rPr>
        <w:t>、人民生活与环境保护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eastAsia" w:ascii="仿宋_GB2312" w:eastAsia="仿宋_GB2312"/>
          <w:color w:val="auto"/>
          <w:sz w:val="32"/>
          <w:szCs w:val="32"/>
          <w:highlight w:val="darkGray"/>
          <w:shd w:val="clear" w:color="auto" w:fill="auto"/>
        </w:rPr>
      </w:pP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城镇居民人均可支配收入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完成35307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元，同比增长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4.8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%。农村居民人均可支配收入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完成25637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元，同比增长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6.0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</w:rPr>
        <w:t>%。</w:t>
      </w:r>
    </w:p>
    <w:p>
      <w:pPr>
        <w:pStyle w:val="2"/>
        <w:ind w:left="0" w:leftChars="0" w:firstLine="640" w:firstLineChars="200"/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</w:pP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全县空气质量优良天数为270天，比去年增加24天，同比增长9.8%。主要污染物PM2.5平均浓度41毫克/立方米，同比下降12.8%。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highlight w:val="none"/>
          <w:shd w:val="clear" w:color="auto" w:fill="auto"/>
          <w:lang w:val="en-US" w:eastAsia="zh-CN"/>
        </w:rPr>
      </w:pPr>
      <w:r>
        <w:rPr>
          <w:rFonts w:hint="eastAsia" w:ascii="黑体" w:hAnsi="黑体" w:eastAsia="黑体" w:cs="黑体"/>
          <w:b w:val="0"/>
          <w:bCs/>
          <w:color w:val="auto"/>
          <w:sz w:val="32"/>
          <w:szCs w:val="32"/>
          <w:highlight w:val="none"/>
          <w:shd w:val="clear" w:color="auto" w:fill="auto"/>
          <w:lang w:eastAsia="zh-CN"/>
        </w:rPr>
        <w:t>十一</w:t>
      </w:r>
      <w:r>
        <w:rPr>
          <w:rFonts w:hint="eastAsia" w:ascii="黑体" w:hAnsi="黑体" w:eastAsia="黑体" w:cs="黑体"/>
          <w:b w:val="0"/>
          <w:bCs/>
          <w:color w:val="auto"/>
          <w:sz w:val="32"/>
          <w:szCs w:val="32"/>
          <w:highlight w:val="none"/>
          <w:shd w:val="clear" w:color="auto" w:fill="auto"/>
        </w:rPr>
        <w:t>、</w:t>
      </w:r>
      <w:r>
        <w:rPr>
          <w:rFonts w:hint="eastAsia" w:ascii="黑体" w:hAnsi="黑体" w:eastAsia="黑体" w:cs="黑体"/>
          <w:b w:val="0"/>
          <w:bCs/>
          <w:color w:val="auto"/>
          <w:sz w:val="32"/>
          <w:szCs w:val="32"/>
          <w:highlight w:val="none"/>
          <w:shd w:val="clear" w:color="auto" w:fill="auto"/>
          <w:lang w:eastAsia="zh-CN"/>
        </w:rPr>
        <w:t>外贸进出口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="640" w:firstLineChars="200"/>
        <w:jc w:val="both"/>
        <w:textAlignment w:val="auto"/>
        <w:outlineLvl w:val="9"/>
        <w:rPr>
          <w:rFonts w:hint="default" w:ascii="仿宋" w:hAnsi="仿宋" w:eastAsia="仿宋" w:cs="仿宋"/>
          <w:b w:val="0"/>
          <w:bCs w:val="0"/>
          <w:color w:val="auto"/>
          <w:sz w:val="32"/>
          <w:szCs w:val="32"/>
          <w:highlight w:val="none"/>
          <w:shd w:val="clear" w:color="auto" w:fill="auto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全县进出口总额完成27253万美元，同比增长6.0%。其中，出口总额完成25395万美元，同比增长4.7%；进口总额完成1858万美元，同比增长30.6%。进出口相抵，贸易顺差23537万美元。实际利用外资1万美元。</w:t>
      </w:r>
    </w:p>
    <w:p>
      <w:pPr>
        <w:rPr>
          <w:rFonts w:hint="eastAsia"/>
          <w:color w:val="auto"/>
          <w:lang w:val="en-US" w:eastAsia="zh-CN"/>
        </w:rPr>
      </w:pPr>
    </w:p>
    <w:p>
      <w:pPr>
        <w:rPr>
          <w:rFonts w:hint="eastAsia"/>
          <w:color w:val="auto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注：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1、本公报部分数据为快报数据。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2、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地区生产总值、各产业增加值按现行价格计算，增长速度按可比价计算。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3、本公报中部分数据来源于相关部门。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4、本公报中的合计数和部分数因小数取舍而产生的误差，均未作机械调整。</w:t>
      </w:r>
    </w:p>
    <w:p>
      <w:pPr>
        <w:pStyle w:val="2"/>
        <w:rPr>
          <w:rFonts w:hint="eastAsia"/>
          <w:color w:val="auto"/>
        </w:rPr>
      </w:pPr>
    </w:p>
    <w:p>
      <w:pPr>
        <w:pStyle w:val="2"/>
        <w:rPr>
          <w:rFonts w:hint="eastAsia"/>
          <w:color w:val="auto"/>
        </w:rPr>
      </w:pPr>
    </w:p>
    <w:p>
      <w:pPr>
        <w:numPr>
          <w:ilvl w:val="0"/>
          <w:numId w:val="0"/>
        </w:numPr>
        <w:rPr>
          <w:rFonts w:hint="eastAsia"/>
          <w:color w:val="auto"/>
          <w:lang w:eastAsia="zh-CN"/>
        </w:rPr>
      </w:pPr>
    </w:p>
    <w:p>
      <w:pPr>
        <w:numPr>
          <w:ilvl w:val="0"/>
          <w:numId w:val="0"/>
        </w:numPr>
        <w:rPr>
          <w:rFonts w:hint="eastAsia"/>
          <w:color w:val="auto"/>
          <w:lang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color w:val="auto"/>
        </w:rPr>
      </w:pPr>
    </w:p>
    <w:sectPr>
      <w:footerReference r:id="rId3" w:type="default"/>
      <w:pgSz w:w="11906" w:h="16838"/>
      <w:pgMar w:top="2098" w:right="1474" w:bottom="1871" w:left="1588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43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posOffset>2520315</wp:posOffset>
              </wp:positionH>
              <wp:positionV relativeFrom="paragraph">
                <wp:posOffset>-127000</wp:posOffset>
              </wp:positionV>
              <wp:extent cx="326390" cy="31496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26390" cy="31496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upright="0" compatLnSpc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198.45pt;margin-top:-10pt;height:24.8pt;width:25.7pt;mso-position-horizontal-relative:margin;z-index:251660288;mso-width-relative:page;mso-height-relative:page;" filled="f" stroked="f" coordsize="21600,21600" o:gfxdata="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">
              <v:fill on="f" focussize="0,0"/>
              <v:stroke on="f" weight="0.5pt"/>
              <v:imagedata o:title=""/>
              <o:lock v:ext="edit" aspectratio="f"/>
              <v:textbox inset="0mm,0mm,0mm,0mm">
                <w:txbxContent>
                  <w:p>
                    <w:pPr>
                      <w:pStyle w:val="5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hkNTA5NzgwNDliOWEyZjk5MjhiMjQyOWFmMDVjZjIifQ=="/>
  </w:docVars>
  <w:rsids>
    <w:rsidRoot w:val="00000000"/>
    <w:rsid w:val="035524BD"/>
    <w:rsid w:val="069706EF"/>
    <w:rsid w:val="06A543F4"/>
    <w:rsid w:val="08FB3992"/>
    <w:rsid w:val="0B4461C0"/>
    <w:rsid w:val="0EC11631"/>
    <w:rsid w:val="12DB3B7E"/>
    <w:rsid w:val="151B6B0E"/>
    <w:rsid w:val="154876A5"/>
    <w:rsid w:val="169A5652"/>
    <w:rsid w:val="1E7E3C6A"/>
    <w:rsid w:val="1ECB6D8C"/>
    <w:rsid w:val="1ED101D4"/>
    <w:rsid w:val="218140FE"/>
    <w:rsid w:val="23FB64D2"/>
    <w:rsid w:val="25125259"/>
    <w:rsid w:val="2B0E2791"/>
    <w:rsid w:val="2CD930DF"/>
    <w:rsid w:val="2E034261"/>
    <w:rsid w:val="30CC22AA"/>
    <w:rsid w:val="350419FD"/>
    <w:rsid w:val="355B53E2"/>
    <w:rsid w:val="3DBF7824"/>
    <w:rsid w:val="402C0EF6"/>
    <w:rsid w:val="43056584"/>
    <w:rsid w:val="497203D3"/>
    <w:rsid w:val="4DF73A56"/>
    <w:rsid w:val="51501312"/>
    <w:rsid w:val="53C81A1C"/>
    <w:rsid w:val="55B45371"/>
    <w:rsid w:val="56BB0535"/>
    <w:rsid w:val="59115038"/>
    <w:rsid w:val="5EB84469"/>
    <w:rsid w:val="5EC441CE"/>
    <w:rsid w:val="5FD43212"/>
    <w:rsid w:val="63F024E1"/>
    <w:rsid w:val="68061D31"/>
    <w:rsid w:val="714B5C11"/>
    <w:rsid w:val="739B0036"/>
    <w:rsid w:val="74DA0D6F"/>
    <w:rsid w:val="75165798"/>
    <w:rsid w:val="77A5170F"/>
    <w:rsid w:val="78361671"/>
    <w:rsid w:val="78854964"/>
    <w:rsid w:val="79412F13"/>
    <w:rsid w:val="79621EBE"/>
    <w:rsid w:val="7BBE347B"/>
    <w:rsid w:val="7BC402C0"/>
    <w:rsid w:val="7C26489A"/>
    <w:rsid w:val="7C3742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qFormat="1" w:unhideWhenUsed="0" w:uiPriority="99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c 2"/>
    <w:basedOn w:val="1"/>
    <w:next w:val="1"/>
    <w:semiHidden/>
    <w:qFormat/>
    <w:uiPriority w:val="99"/>
    <w:pPr>
      <w:ind w:left="420" w:leftChars="200"/>
    </w:pPr>
    <w:rPr>
      <w:rFonts w:ascii="Times New Roman" w:hAnsi="Times New Roman"/>
      <w:szCs w:val="24"/>
    </w:rPr>
  </w:style>
  <w:style w:type="paragraph" w:styleId="3">
    <w:name w:val="Body Text"/>
    <w:basedOn w:val="1"/>
    <w:next w:val="4"/>
    <w:qFormat/>
    <w:uiPriority w:val="0"/>
    <w:pPr>
      <w:spacing w:after="120" w:afterLines="0" w:afterAutospacing="0"/>
    </w:pPr>
  </w:style>
  <w:style w:type="paragraph" w:styleId="4">
    <w:name w:val="Body Text First Indent"/>
    <w:qFormat/>
    <w:uiPriority w:val="0"/>
    <w:pPr>
      <w:widowControl w:val="0"/>
      <w:autoSpaceDE w:val="0"/>
      <w:autoSpaceDN w:val="0"/>
      <w:ind w:firstLine="420" w:firstLineChars="100"/>
    </w:pPr>
    <w:rPr>
      <w:rFonts w:ascii="宋体" w:hAnsi="宋体" w:eastAsia="宋体" w:cs="宋体"/>
      <w:sz w:val="21"/>
      <w:szCs w:val="32"/>
      <w:lang w:val="zh-CN" w:eastAsia="zh-CN" w:bidi="zh-CN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9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hart" Target="charts/chart5.xml"/><Relationship Id="rId8" Type="http://schemas.openxmlformats.org/officeDocument/2006/relationships/chart" Target="charts/chart4.xml"/><Relationship Id="rId7" Type="http://schemas.openxmlformats.org/officeDocument/2006/relationships/chart" Target="charts/chart3.xml"/><Relationship Id="rId6" Type="http://schemas.openxmlformats.org/officeDocument/2006/relationships/chart" Target="charts/chart2.xml"/><Relationship Id="rId5" Type="http://schemas.openxmlformats.org/officeDocument/2006/relationships/chart" Target="charts/chart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charts/_rels/chart1.xml.rels><?xml version="1.0" encoding="UTF-8" standalone="yes"?>
<Relationships xmlns="http://schemas.openxmlformats.org/package/2006/relationships"><Relationship Id="rId3" Type="http://schemas.microsoft.com/office/2011/relationships/chartColorStyle" Target="colors1.xml"/><Relationship Id="rId2" Type="http://schemas.microsoft.com/office/2011/relationships/chartStyle" Target="style1.xml"/><Relationship Id="rId1" Type="http://schemas.openxmlformats.org/officeDocument/2006/relationships/oleObject" Target="&#24037;&#20316;&#31807;1" TargetMode="External"/></Relationships>
</file>

<file path=word/charts/_rels/chart2.xml.rels><?xml version="1.0" encoding="UTF-8" standalone="yes"?>
<Relationships xmlns="http://schemas.openxmlformats.org/package/2006/relationships"><Relationship Id="rId3" Type="http://schemas.microsoft.com/office/2011/relationships/chartColorStyle" Target="colors2.xml"/><Relationship Id="rId2" Type="http://schemas.microsoft.com/office/2011/relationships/chartStyle" Target="style2.xml"/><Relationship Id="rId1" Type="http://schemas.openxmlformats.org/officeDocument/2006/relationships/oleObject" Target="&#24037;&#20316;&#31807;1" TargetMode="External"/></Relationships>
</file>

<file path=word/charts/_rels/chart3.xml.rels><?xml version="1.0" encoding="UTF-8" standalone="yes"?>
<Relationships xmlns="http://schemas.openxmlformats.org/package/2006/relationships"><Relationship Id="rId3" Type="http://schemas.microsoft.com/office/2011/relationships/chartColorStyle" Target="colors5.xml"/><Relationship Id="rId2" Type="http://schemas.microsoft.com/office/2011/relationships/chartStyle" Target="style5.xml"/><Relationship Id="rId1" Type="http://schemas.openxmlformats.org/officeDocument/2006/relationships/oleObject" Target="file:///C:\Users\admin\Desktop\&#24037;&#20316;&#31807;1.xlsx" TargetMode="External"/></Relationships>
</file>

<file path=word/charts/_rels/chart4.xml.rels><?xml version="1.0" encoding="UTF-8" standalone="yes"?>
<Relationships xmlns="http://schemas.openxmlformats.org/package/2006/relationships"><Relationship Id="rId3" Type="http://schemas.microsoft.com/office/2011/relationships/chartColorStyle" Target="colors4.xml"/><Relationship Id="rId2" Type="http://schemas.microsoft.com/office/2011/relationships/chartStyle" Target="style4.xml"/><Relationship Id="rId1" Type="http://schemas.openxmlformats.org/officeDocument/2006/relationships/oleObject" Target="file:///C:\Users\admin\Desktop\&#24037;&#20316;&#31807;1.xlsx" TargetMode="External"/></Relationships>
</file>

<file path=word/charts/_rels/chart5.xml.rels><?xml version="1.0" encoding="UTF-8" standalone="yes"?>
<Relationships xmlns="http://schemas.openxmlformats.org/package/2006/relationships"><Relationship Id="rId3" Type="http://schemas.microsoft.com/office/2011/relationships/chartColorStyle" Target="colors3.xml"/><Relationship Id="rId2" Type="http://schemas.microsoft.com/office/2011/relationships/chartStyle" Target="style3.xml"/><Relationship Id="rId1" Type="http://schemas.openxmlformats.org/officeDocument/2006/relationships/oleObject" Target="file:///C:\Users\admin\Desktop\&#24037;&#20316;&#31807;1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 defTabSz="914400">
              <a:defRPr lang="zh-CN" sz="1260" b="1" i="0" u="none" strike="noStrike" kern="1200" spc="0" baseline="0">
                <a:solidFill>
                  <a:sysClr val="windowText" lastClr="000000"/>
                </a:solidFill>
                <a:latin typeface="宋体" panose="02010600030101010101" charset="-122"/>
                <a:ea typeface="宋体" panose="02010600030101010101" charset="-122"/>
                <a:cs typeface="宋体" panose="02010600030101010101" charset="-122"/>
                <a:sym typeface="宋体" panose="02010600030101010101" charset="-122"/>
              </a:defRPr>
            </a:pPr>
            <a:r>
              <a:rPr altLang="en-US" sz="1400" b="0">
                <a:solidFill>
                  <a:sysClr val="windowText" lastClr="000000"/>
                </a:solidFill>
                <a:latin typeface="宋体" panose="02010600030101010101" charset="-122"/>
                <a:ea typeface="宋体" panose="02010600030101010101" charset="-122"/>
                <a:cs typeface="宋体" panose="02010600030101010101" charset="-122"/>
                <a:sym typeface="宋体" panose="02010600030101010101" charset="-122"/>
              </a:rPr>
              <a:t>图</a:t>
            </a:r>
            <a:r>
              <a:rPr lang="en-US" altLang="zh-CN" sz="1400" b="0">
                <a:solidFill>
                  <a:sysClr val="windowText" lastClr="000000"/>
                </a:solidFill>
                <a:latin typeface="宋体" panose="02010600030101010101" charset="-122"/>
                <a:ea typeface="宋体" panose="02010600030101010101" charset="-122"/>
                <a:cs typeface="宋体" panose="02010600030101010101" charset="-122"/>
                <a:sym typeface="宋体" panose="02010600030101010101" charset="-122"/>
              </a:rPr>
              <a:t>1  2018-2022</a:t>
            </a:r>
            <a:r>
              <a:rPr altLang="en-US" sz="1400" b="0">
                <a:solidFill>
                  <a:sysClr val="windowText" lastClr="000000"/>
                </a:solidFill>
                <a:latin typeface="宋体" panose="02010600030101010101" charset="-122"/>
                <a:ea typeface="宋体" panose="02010600030101010101" charset="-122"/>
                <a:cs typeface="宋体" panose="02010600030101010101" charset="-122"/>
                <a:sym typeface="宋体" panose="02010600030101010101" charset="-122"/>
              </a:rPr>
              <a:t>年全县地区生产总值及增长速度</a:t>
            </a:r>
            <a:endParaRPr altLang="en-US" sz="1400" b="0">
              <a:solidFill>
                <a:sysClr val="windowText" lastClr="000000"/>
              </a:solidFill>
              <a:latin typeface="宋体" panose="02010600030101010101" charset="-122"/>
              <a:ea typeface="宋体" panose="02010600030101010101" charset="-122"/>
              <a:cs typeface="宋体" panose="02010600030101010101" charset="-122"/>
              <a:sym typeface="宋体" panose="02010600030101010101" charset="-122"/>
            </a:endParaRPr>
          </a:p>
        </c:rich>
      </c:tx>
      <c:layout>
        <c:manualLayout>
          <c:xMode val="edge"/>
          <c:yMode val="edge"/>
          <c:x val="0.165421910904966"/>
          <c:y val="0.014804742637534"/>
        </c:manualLayout>
      </c:layout>
      <c:overlay val="0"/>
      <c:spPr>
        <a:noFill/>
        <a:ln>
          <a:noFill/>
        </a:ln>
        <a:effectLst/>
      </c:spPr>
    </c:title>
    <c:autoTitleDeleted val="0"/>
    <c:plotArea>
      <c:layout>
        <c:manualLayout>
          <c:layoutTarget val="inner"/>
          <c:xMode val="edge"/>
          <c:yMode val="edge"/>
          <c:x val="0.119677069526449"/>
          <c:y val="0.303877940241577"/>
          <c:w val="0.816556211591758"/>
          <c:h val="0.567026912481458"/>
        </c:manualLayout>
      </c:layout>
      <c:barChart>
        <c:barDir val="col"/>
        <c:grouping val="stacked"/>
        <c:varyColors val="0"/>
        <c:ser>
          <c:idx val="0"/>
          <c:order val="0"/>
          <c:tx>
            <c:strRef>
              <c:f>"总量"</c:f>
              <c:strCache>
                <c:ptCount val="1"/>
                <c:pt idx="0">
                  <c:v>总量</c:v>
                </c:pt>
              </c:strCache>
            </c:strRef>
          </c:tx>
          <c:spPr>
            <a:noFill/>
            <a:ln w="3175">
              <a:solidFill>
                <a:schemeClr val="tx1"/>
              </a:solidFill>
            </a:ln>
            <a:effectLst/>
            <a:sp3d contourW="3175"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50" b="0" i="0" u="none" strike="noStrike" kern="1200" baseline="0">
                    <a:solidFill>
                      <a:sysClr val="windowText" lastClr="000000"/>
                    </a:solidFill>
                    <a:latin typeface="宋体" panose="02010600030101010101" charset="-122"/>
                    <a:ea typeface="宋体" panose="02010600030101010101" charset="-122"/>
                    <a:cs typeface="宋体" panose="02010600030101010101" charset="-122"/>
                    <a:sym typeface="宋体" panose="02010600030101010101" charset="-122"/>
                  </a:defRPr>
                </a:pPr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[工作簿1]Sheet1!$A$2:$A$6</c:f>
              <c:numCache>
                <c:formatCode>General</c:formatCode>
                <c:ptCount val="5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  <c:pt idx="3">
                  <c:v>2021</c:v>
                </c:pt>
                <c:pt idx="4">
                  <c:v>2022</c:v>
                </c:pt>
              </c:numCache>
            </c:numRef>
          </c:cat>
          <c:val>
            <c:numRef>
              <c:f>[工作簿1]Sheet1!$B$2:$B$6</c:f>
              <c:numCache>
                <c:formatCode>General</c:formatCode>
                <c:ptCount val="5"/>
                <c:pt idx="0">
                  <c:v>885604</c:v>
                </c:pt>
                <c:pt idx="1">
                  <c:v>982068</c:v>
                </c:pt>
                <c:pt idx="2">
                  <c:v>1019752</c:v>
                </c:pt>
                <c:pt idx="3">
                  <c:v>1155389</c:v>
                </c:pt>
                <c:pt idx="4">
                  <c:v>1221091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71"/>
        <c:overlap val="100"/>
        <c:axId val="199249096"/>
        <c:axId val="182864167"/>
      </c:barChart>
      <c:lineChart>
        <c:grouping val="standard"/>
        <c:varyColors val="0"/>
        <c:ser>
          <c:idx val="2"/>
          <c:order val="1"/>
          <c:tx>
            <c:strRef>
              <c:f>"增速"</c:f>
              <c:strCache>
                <c:ptCount val="1"/>
                <c:pt idx="0">
                  <c:v>增速</c:v>
                </c:pt>
              </c:strCache>
            </c:strRef>
          </c:tx>
          <c:spPr>
            <a:ln w="6350" cap="rnd">
              <a:solidFill>
                <a:schemeClr val="tx1"/>
              </a:solidFill>
              <a:round/>
            </a:ln>
            <a:effectLst/>
            <a:sp3d contourW="6350"/>
          </c:spPr>
          <c:marker>
            <c:symbol val="diamond"/>
            <c:size val="3"/>
            <c:spPr>
              <a:solidFill>
                <a:schemeClr val="tx1"/>
              </a:solidFill>
              <a:ln w="12700" cmpd="sng">
                <a:solidFill>
                  <a:schemeClr val="tx1"/>
                </a:solidFill>
                <a:prstDash val="solid"/>
              </a:ln>
              <a:effectLst/>
            </c:spPr>
          </c:marker>
          <c:dPt>
            <c:idx val="3"/>
            <c:marker>
              <c:symbol val="diamond"/>
              <c:size val="3"/>
              <c:spPr>
                <a:solidFill>
                  <a:schemeClr val="tx1"/>
                </a:solidFill>
                <a:ln w="19050" cmpd="sng">
                  <a:solidFill>
                    <a:schemeClr val="tx1"/>
                  </a:solidFill>
                  <a:prstDash val="solid"/>
                </a:ln>
                <a:effectLst/>
              </c:spPr>
            </c:marker>
            <c:bubble3D val="0"/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50" b="0" i="0" u="none" strike="noStrike" kern="1200" baseline="0">
                    <a:solidFill>
                      <a:sysClr val="windowText" lastClr="000000"/>
                    </a:solidFill>
                    <a:latin typeface="宋体" panose="02010600030101010101" charset="-122"/>
                    <a:ea typeface="宋体" panose="02010600030101010101" charset="-122"/>
                    <a:cs typeface="宋体" panose="02010600030101010101" charset="-122"/>
                    <a:sym typeface="宋体" panose="02010600030101010101" charset="-122"/>
                  </a:defRPr>
                </a:pPr>
              </a:p>
            </c:txPr>
            <c:dLblPos val="t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'[新建 XLSX 工作表.xlsx]Sheet1'!$A$1:$A$5</c:f>
              <c:numCache>
                <c:ptCount val="0"/>
              </c:numCache>
            </c:numRef>
          </c:cat>
          <c:val>
            <c:numRef>
              <c:f>[工作簿1]Sheet1!$C$2:$C$6</c:f>
              <c:numCache>
                <c:formatCode>General</c:formatCode>
                <c:ptCount val="5"/>
                <c:pt idx="0">
                  <c:v>6.3</c:v>
                </c:pt>
                <c:pt idx="1">
                  <c:v>7.7</c:v>
                </c:pt>
                <c:pt idx="2" c:formatCode="0.0_ ">
                  <c:v>6</c:v>
                </c:pt>
                <c:pt idx="3">
                  <c:v>7.2</c:v>
                </c:pt>
                <c:pt idx="4">
                  <c:v>4.2</c:v>
                </c:pt>
              </c:numCache>
            </c:numRef>
          </c:val>
          <c:smooth val="0"/>
        </c:ser>
        <c:dLbls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151712730"/>
        <c:axId val="372883260"/>
      </c:lineChart>
      <c:catAx>
        <c:axId val="199249096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noFill/>
          <a:ln w="9525" cap="flat" cmpd="sng" algn="ctr">
            <a:solidFill>
              <a:schemeClr val="tx1"/>
            </a:solidFill>
            <a:round/>
          </a:ln>
          <a:effectLst/>
        </c:spPr>
        <c:txPr>
          <a:bodyPr rot="-60000000" spcFirstLastPara="0" vertOverflow="ellipsis" vert="horz" wrap="square" anchor="ctr" anchorCtr="1"/>
          <a:lstStyle/>
          <a:p>
            <a:pPr>
              <a:defRPr lang="zh-CN" sz="1050" b="0" i="0" u="none" strike="noStrike" kern="1200" baseline="0">
                <a:solidFill>
                  <a:sysClr val="windowText" lastClr="000000"/>
                </a:solidFill>
                <a:latin typeface="宋体" panose="02010600030101010101" charset="-122"/>
                <a:ea typeface="宋体" panose="02010600030101010101" charset="-122"/>
                <a:cs typeface="宋体" panose="02010600030101010101" charset="-122"/>
                <a:sym typeface="宋体" panose="02010600030101010101" charset="-122"/>
              </a:defRPr>
            </a:pPr>
          </a:p>
        </c:txPr>
        <c:crossAx val="182864167"/>
        <c:crosses val="autoZero"/>
        <c:auto val="0"/>
        <c:lblAlgn val="ctr"/>
        <c:lblOffset val="100"/>
        <c:noMultiLvlLbl val="0"/>
      </c:catAx>
      <c:valAx>
        <c:axId val="182864167"/>
        <c:scaling>
          <c:orientation val="minMax"/>
        </c:scaling>
        <c:delete val="0"/>
        <c:axPos val="l"/>
        <c:title>
          <c:tx>
            <c:rich>
              <a:bodyPr rot="0" spcFirstLastPara="0" vertOverflow="ellipsis" vert="horz" wrap="square" anchor="ctr" anchorCtr="1"/>
              <a:lstStyle/>
              <a:p>
                <a:pPr defTabSz="914400">
                  <a:defRPr lang="zh-CN" sz="1050" b="0" i="0" u="none" strike="noStrike" kern="1200" baseline="0">
                    <a:solidFill>
                      <a:sysClr val="windowText" lastClr="000000"/>
                    </a:solidFill>
                    <a:latin typeface="宋体" panose="02010600030101010101" charset="-122"/>
                    <a:ea typeface="宋体" panose="02010600030101010101" charset="-122"/>
                    <a:cs typeface="宋体" panose="02010600030101010101" charset="-122"/>
                    <a:sym typeface="宋体" panose="02010600030101010101" charset="-122"/>
                  </a:defRPr>
                </a:pPr>
                <a:r>
                  <a:rPr sz="1050">
                    <a:solidFill>
                      <a:sysClr val="windowText" lastClr="000000"/>
                    </a:solidFill>
                    <a:latin typeface="宋体" panose="02010600030101010101" charset="-122"/>
                    <a:ea typeface="宋体" panose="02010600030101010101" charset="-122"/>
                    <a:cs typeface="宋体" panose="02010600030101010101" charset="-122"/>
                    <a:sym typeface="宋体" panose="02010600030101010101" charset="-122"/>
                  </a:rPr>
                  <a:t>万元</a:t>
                </a:r>
                <a:endParaRPr sz="1050">
                  <a:solidFill>
                    <a:sysClr val="windowText" lastClr="000000"/>
                  </a:solidFill>
                  <a:latin typeface="宋体" panose="02010600030101010101" charset="-122"/>
                  <a:ea typeface="宋体" panose="02010600030101010101" charset="-122"/>
                  <a:cs typeface="宋体" panose="02010600030101010101" charset="-122"/>
                  <a:sym typeface="宋体" panose="02010600030101010101" charset="-122"/>
                </a:endParaRPr>
              </a:p>
            </c:rich>
          </c:tx>
          <c:layout>
            <c:manualLayout>
              <c:xMode val="edge"/>
              <c:yMode val="edge"/>
              <c:x val="0.0313519704425605"/>
              <c:y val="0.204126181476105"/>
            </c:manualLayout>
          </c:layout>
          <c:overlay val="0"/>
          <c:spPr>
            <a:noFill/>
            <a:ln>
              <a:noFill/>
            </a:ln>
            <a:effectLst/>
          </c:spPr>
        </c:title>
        <c:numFmt formatCode="General" sourceLinked="1"/>
        <c:majorTickMark val="in"/>
        <c:minorTickMark val="none"/>
        <c:tickLblPos val="nextTo"/>
        <c:spPr>
          <a:noFill/>
          <a:ln>
            <a:solidFill>
              <a:schemeClr val="tx1"/>
            </a:solidFill>
          </a:ln>
          <a:effectLst/>
        </c:spPr>
        <c:txPr>
          <a:bodyPr rot="-60000000" spcFirstLastPara="0" vertOverflow="ellipsis" vert="horz" wrap="square" anchor="ctr" anchorCtr="1"/>
          <a:lstStyle/>
          <a:p>
            <a:pPr>
              <a:defRPr lang="zh-CN" sz="1050" b="0" i="0" u="none" strike="noStrike" kern="1200" baseline="0">
                <a:solidFill>
                  <a:sysClr val="windowText" lastClr="000000"/>
                </a:solidFill>
                <a:latin typeface="宋体" panose="02010600030101010101" charset="-122"/>
                <a:ea typeface="宋体" panose="02010600030101010101" charset="-122"/>
                <a:cs typeface="宋体" panose="02010600030101010101" charset="-122"/>
                <a:sym typeface="宋体" panose="02010600030101010101" charset="-122"/>
              </a:defRPr>
            </a:pPr>
          </a:p>
        </c:txPr>
        <c:crossAx val="199249096"/>
        <c:crosses val="autoZero"/>
        <c:crossBetween val="between"/>
        <c:majorUnit val="200000"/>
      </c:valAx>
      <c:catAx>
        <c:axId val="151712730"/>
        <c:scaling>
          <c:orientation val="minMax"/>
        </c:scaling>
        <c:delete val="1"/>
        <c:axPos val="b"/>
        <c:majorTickMark val="none"/>
        <c:minorTickMark val="none"/>
        <c:tickLblPos val="nextTo"/>
        <c:txPr>
          <a:bodyPr rot="-60000000" spcFirstLastPara="0" vertOverflow="ellipsis" vert="horz" wrap="square" anchor="ctr" anchorCtr="1"/>
          <a:lstStyle/>
          <a:p>
            <a:pPr>
              <a:defRPr lang="zh-CN" sz="1050" b="0" i="0" u="none" strike="noStrike" kern="1200" baseline="0">
                <a:solidFill>
                  <a:sysClr val="windowText" lastClr="000000"/>
                </a:solidFill>
                <a:latin typeface="宋体" panose="02010600030101010101" charset="-122"/>
                <a:ea typeface="宋体" panose="02010600030101010101" charset="-122"/>
                <a:cs typeface="宋体" panose="02010600030101010101" charset="-122"/>
                <a:sym typeface="宋体" panose="02010600030101010101" charset="-122"/>
              </a:defRPr>
            </a:pPr>
          </a:p>
        </c:txPr>
        <c:crossAx val="372883260"/>
        <c:crosses val="autoZero"/>
        <c:auto val="1"/>
        <c:lblAlgn val="ctr"/>
        <c:lblOffset val="100"/>
        <c:noMultiLvlLbl val="0"/>
      </c:catAx>
      <c:valAx>
        <c:axId val="372883260"/>
        <c:scaling>
          <c:orientation val="minMax"/>
        </c:scaling>
        <c:delete val="0"/>
        <c:axPos val="r"/>
        <c:title>
          <c:tx>
            <c:rich>
              <a:bodyPr rot="0" spcFirstLastPara="0" vertOverflow="ellipsis" vert="horz" wrap="square" anchor="ctr" anchorCtr="1"/>
              <a:lstStyle/>
              <a:p>
                <a:pPr defTabSz="914400">
                  <a:defRPr lang="zh-CN" sz="1050" b="0" i="0" u="none" strike="noStrike" kern="1200" baseline="0">
                    <a:solidFill>
                      <a:sysClr val="windowText" lastClr="000000"/>
                    </a:solidFill>
                    <a:latin typeface="宋体" panose="02010600030101010101" charset="-122"/>
                    <a:ea typeface="宋体" panose="02010600030101010101" charset="-122"/>
                    <a:cs typeface="宋体" panose="02010600030101010101" charset="-122"/>
                    <a:sym typeface="宋体" panose="02010600030101010101" charset="-122"/>
                  </a:defRPr>
                </a:pPr>
                <a:r>
                  <a:rPr lang="en-US" altLang="zh-CN" sz="1050">
                    <a:solidFill>
                      <a:sysClr val="windowText" lastClr="000000"/>
                    </a:solidFill>
                    <a:latin typeface="宋体" panose="02010600030101010101" charset="-122"/>
                    <a:ea typeface="宋体" panose="02010600030101010101" charset="-122"/>
                    <a:cs typeface="宋体" panose="02010600030101010101" charset="-122"/>
                    <a:sym typeface="宋体" panose="02010600030101010101" charset="-122"/>
                  </a:rPr>
                  <a:t>%</a:t>
                </a:r>
                <a:endParaRPr lang="en-US" altLang="zh-CN" sz="1050">
                  <a:solidFill>
                    <a:sysClr val="windowText" lastClr="000000"/>
                  </a:solidFill>
                  <a:latin typeface="宋体" panose="02010600030101010101" charset="-122"/>
                  <a:ea typeface="宋体" panose="02010600030101010101" charset="-122"/>
                  <a:cs typeface="宋体" panose="02010600030101010101" charset="-122"/>
                  <a:sym typeface="宋体" panose="02010600030101010101" charset="-122"/>
                </a:endParaRPr>
              </a:p>
            </c:rich>
          </c:tx>
          <c:layout>
            <c:manualLayout>
              <c:xMode val="edge"/>
              <c:yMode val="edge"/>
              <c:x val="0.941673023429977"/>
              <c:y val="0.217162257970919"/>
            </c:manualLayout>
          </c:layout>
          <c:overlay val="0"/>
          <c:spPr>
            <a:noFill/>
            <a:ln>
              <a:noFill/>
            </a:ln>
            <a:effectLst/>
          </c:spPr>
        </c:title>
        <c:numFmt formatCode="General" sourceLinked="1"/>
        <c:majorTickMark val="in"/>
        <c:minorTickMark val="none"/>
        <c:tickLblPos val="nextTo"/>
        <c:spPr>
          <a:noFill/>
          <a:ln>
            <a:solidFill>
              <a:schemeClr val="tx1"/>
            </a:solidFill>
          </a:ln>
          <a:effectLst/>
        </c:spPr>
        <c:txPr>
          <a:bodyPr rot="-60000000" spcFirstLastPara="0" vertOverflow="ellipsis" vert="horz" wrap="square" anchor="ctr" anchorCtr="1"/>
          <a:lstStyle/>
          <a:p>
            <a:pPr>
              <a:defRPr lang="zh-CN" sz="1050" b="0" i="0" u="none" strike="noStrike" kern="1200" baseline="0">
                <a:solidFill>
                  <a:sysClr val="windowText" lastClr="000000"/>
                </a:solidFill>
                <a:latin typeface="宋体" panose="02010600030101010101" charset="-122"/>
                <a:ea typeface="宋体" panose="02010600030101010101" charset="-122"/>
                <a:cs typeface="宋体" panose="02010600030101010101" charset="-122"/>
                <a:sym typeface="宋体" panose="02010600030101010101" charset="-122"/>
              </a:defRPr>
            </a:pPr>
          </a:p>
        </c:txPr>
        <c:crossAx val="151712730"/>
        <c:crosses val="max"/>
        <c:crossBetween val="between"/>
        <c:majorUnit val="2"/>
      </c:valAx>
      <c:spPr>
        <a:noFill/>
        <a:ln>
          <a:noFill/>
        </a:ln>
        <a:effectLst/>
      </c:spPr>
    </c:plotArea>
    <c:legend>
      <c:legendPos val="tr"/>
      <c:legendEntry>
        <c:idx val="0"/>
        <c:txPr>
          <a:bodyPr rot="0" spcFirstLastPara="0" vertOverflow="ellipsis" vert="horz" wrap="square" anchor="t" anchorCtr="1"/>
          <a:lstStyle/>
          <a:p>
            <a:pPr>
              <a:defRPr lang="zh-CN" sz="1050" b="0" i="0" u="none" strike="noStrike" kern="1200" baseline="0">
                <a:solidFill>
                  <a:sysClr val="windowText" lastClr="000000"/>
                </a:solidFill>
                <a:latin typeface="宋体" panose="02010600030101010101" charset="-122"/>
                <a:ea typeface="宋体" panose="02010600030101010101" charset="-122"/>
                <a:cs typeface="宋体" panose="02010600030101010101" charset="-122"/>
                <a:sym typeface="宋体" panose="02010600030101010101" charset="-122"/>
              </a:defRPr>
            </a:pPr>
          </a:p>
        </c:txPr>
      </c:legendEntry>
      <c:legendEntry>
        <c:idx val="1"/>
        <c:txPr>
          <a:bodyPr rot="0" spcFirstLastPara="0" vertOverflow="ellipsis" vert="horz" wrap="square" anchor="t" anchorCtr="1"/>
          <a:lstStyle/>
          <a:p>
            <a:pPr>
              <a:defRPr lang="zh-CN" sz="1050" b="0" i="0" u="none" strike="noStrike" kern="1200" baseline="0">
                <a:solidFill>
                  <a:sysClr val="windowText" lastClr="000000"/>
                </a:solidFill>
                <a:latin typeface="宋体" panose="02010600030101010101" charset="-122"/>
                <a:ea typeface="宋体" panose="02010600030101010101" charset="-122"/>
                <a:cs typeface="宋体" panose="02010600030101010101" charset="-122"/>
                <a:sym typeface="宋体" panose="02010600030101010101" charset="-122"/>
              </a:defRPr>
            </a:pPr>
          </a:p>
        </c:txPr>
      </c:legendEntry>
      <c:layout>
        <c:manualLayout>
          <c:xMode val="edge"/>
          <c:yMode val="edge"/>
          <c:x val="0.711466279049786"/>
          <c:y val="0.143492767309052"/>
          <c:w val="0.217916666666667"/>
          <c:h val="0.103268226648617"/>
        </c:manualLayout>
      </c:layout>
      <c:overlay val="0"/>
      <c:spPr>
        <a:noFill/>
        <a:ln>
          <a:noFill/>
        </a:ln>
        <a:effectLst/>
      </c:spPr>
      <c:txPr>
        <a:bodyPr rot="0" spcFirstLastPara="0" vertOverflow="ellipsis" vert="horz" wrap="square" anchor="t" anchorCtr="1"/>
        <a:lstStyle/>
        <a:p>
          <a:pPr>
            <a:defRPr lang="zh-CN" sz="1050" b="0" i="0" u="none" strike="noStrike" kern="1200" baseline="0">
              <a:solidFill>
                <a:sysClr val="windowText" lastClr="000000"/>
              </a:solidFill>
              <a:latin typeface="宋体" panose="02010600030101010101" charset="-122"/>
              <a:ea typeface="宋体" panose="02010600030101010101" charset="-122"/>
              <a:cs typeface="宋体" panose="02010600030101010101" charset="-122"/>
              <a:sym typeface="宋体" panose="02010600030101010101" charset="-122"/>
            </a:defRPr>
          </a:pPr>
        </a:p>
      </c:txPr>
    </c:legend>
    <c:plotVisOnly val="1"/>
    <c:dispBlanksAs val="gap"/>
    <c:showDLblsOverMax val="0"/>
  </c:chart>
  <c:spPr>
    <a:noFill/>
    <a:ln w="9525" cap="flat" cmpd="sng" algn="ctr">
      <a:noFill/>
      <a:round/>
    </a:ln>
    <a:effectLst/>
  </c:spPr>
  <c:txPr>
    <a:bodyPr/>
    <a:lstStyle/>
    <a:p>
      <a:pPr>
        <a:defRPr lang="zh-CN" sz="1050">
          <a:solidFill>
            <a:sysClr val="windowText" lastClr="000000"/>
          </a:solidFill>
          <a:latin typeface="宋体" panose="02010600030101010101" charset="-122"/>
          <a:ea typeface="宋体" panose="02010600030101010101" charset="-122"/>
          <a:cs typeface="宋体" panose="02010600030101010101" charset="-122"/>
          <a:sym typeface="宋体" panose="02010600030101010101" charset="-122"/>
        </a:defRPr>
      </a:pPr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 defTabSz="914400">
              <a:defRPr lang="zh-CN" sz="1400" b="0" i="0" u="none" strike="noStrike" kern="1200" spc="0" baseline="0">
                <a:solidFill>
                  <a:sysClr val="windowText" lastClr="000000"/>
                </a:solidFill>
                <a:latin typeface="+mn-ea"/>
                <a:ea typeface="+mn-ea"/>
                <a:cs typeface="+mn-ea"/>
                <a:sym typeface="+mn-ea"/>
              </a:defRPr>
            </a:pPr>
            <a:r>
              <a:rPr sz="1400" b="0">
                <a:solidFill>
                  <a:sysClr val="windowText" lastClr="000000"/>
                </a:solidFill>
                <a:uFillTx/>
                <a:latin typeface="宋体" panose="02010600030101010101" charset="-122"/>
                <a:ea typeface="宋体" panose="02010600030101010101" charset="-122"/>
                <a:cs typeface="+mn-ea"/>
                <a:sym typeface="+mn-ea"/>
              </a:rPr>
              <a:t>图</a:t>
            </a:r>
            <a:r>
              <a:rPr lang="en-US" altLang="zh-CN" sz="1400" b="0">
                <a:solidFill>
                  <a:sysClr val="windowText" lastClr="000000"/>
                </a:solidFill>
                <a:uFillTx/>
                <a:latin typeface="宋体" panose="02010600030101010101" charset="-122"/>
                <a:ea typeface="宋体" panose="02010600030101010101" charset="-122"/>
                <a:cs typeface="+mn-ea"/>
                <a:sym typeface="+mn-ea"/>
              </a:rPr>
              <a:t>2  </a:t>
            </a:r>
            <a:r>
              <a:rPr sz="1400" b="0">
                <a:solidFill>
                  <a:sysClr val="windowText" lastClr="000000"/>
                </a:solidFill>
                <a:uFillTx/>
                <a:latin typeface="宋体" panose="02010600030101010101" charset="-122"/>
                <a:ea typeface="宋体" panose="02010600030101010101" charset="-122"/>
                <a:cs typeface="+mn-ea"/>
                <a:sym typeface="+mn-ea"/>
              </a:rPr>
              <a:t>201</a:t>
            </a:r>
            <a:r>
              <a:rPr lang="en-US" altLang="zh-CN" sz="1400" b="0">
                <a:solidFill>
                  <a:sysClr val="windowText" lastClr="000000"/>
                </a:solidFill>
                <a:uFillTx/>
                <a:latin typeface="宋体" panose="02010600030101010101" charset="-122"/>
                <a:ea typeface="宋体" panose="02010600030101010101" charset="-122"/>
                <a:cs typeface="+mn-ea"/>
                <a:sym typeface="+mn-ea"/>
              </a:rPr>
              <a:t>8</a:t>
            </a:r>
            <a:r>
              <a:rPr sz="1400" b="0">
                <a:solidFill>
                  <a:sysClr val="windowText" lastClr="000000"/>
                </a:solidFill>
                <a:uFillTx/>
                <a:latin typeface="宋体" panose="02010600030101010101" charset="-122"/>
                <a:ea typeface="宋体" panose="02010600030101010101" charset="-122"/>
                <a:cs typeface="+mn-ea"/>
                <a:sym typeface="+mn-ea"/>
              </a:rPr>
              <a:t>-202</a:t>
            </a:r>
            <a:r>
              <a:rPr lang="en-US" altLang="zh-CN" sz="1400" b="0">
                <a:solidFill>
                  <a:sysClr val="windowText" lastClr="000000"/>
                </a:solidFill>
                <a:uFillTx/>
                <a:latin typeface="宋体" panose="02010600030101010101" charset="-122"/>
                <a:ea typeface="宋体" panose="02010600030101010101" charset="-122"/>
                <a:cs typeface="+mn-ea"/>
                <a:sym typeface="+mn-ea"/>
              </a:rPr>
              <a:t>2</a:t>
            </a:r>
            <a:r>
              <a:rPr sz="1400" b="0">
                <a:solidFill>
                  <a:sysClr val="windowText" lastClr="000000"/>
                </a:solidFill>
                <a:uFillTx/>
                <a:latin typeface="宋体" panose="02010600030101010101" charset="-122"/>
                <a:ea typeface="宋体" panose="02010600030101010101" charset="-122"/>
                <a:cs typeface="+mn-ea"/>
                <a:sym typeface="+mn-ea"/>
              </a:rPr>
              <a:t>年末全县常住人口城镇化率</a:t>
            </a:r>
            <a:endParaRPr sz="1400" b="0">
              <a:solidFill>
                <a:sysClr val="windowText" lastClr="000000"/>
              </a:solidFill>
              <a:uFillTx/>
              <a:latin typeface="宋体" panose="02010600030101010101" charset="-122"/>
              <a:ea typeface="宋体" panose="02010600030101010101" charset="-122"/>
              <a:cs typeface="+mn-ea"/>
              <a:sym typeface="+mn-ea"/>
            </a:endParaRPr>
          </a:p>
        </c:rich>
      </c:tx>
      <c:layout>
        <c:manualLayout>
          <c:xMode val="edge"/>
          <c:yMode val="edge"/>
          <c:x val="0.199449541284404"/>
          <c:y val="0.035953947575908"/>
        </c:manualLayout>
      </c:layout>
      <c:overlay val="0"/>
      <c:spPr>
        <a:noFill/>
        <a:ln>
          <a:noFill/>
        </a:ln>
        <a:effectLst/>
      </c:spPr>
    </c:title>
    <c:autoTitleDeleted val="0"/>
    <c:plotArea>
      <c:layout>
        <c:manualLayout>
          <c:layoutTarget val="inner"/>
          <c:xMode val="edge"/>
          <c:yMode val="edge"/>
          <c:x val="0.089394495412844"/>
          <c:y val="0.258720930232558"/>
          <c:w val="0.906935779816514"/>
          <c:h val="0.619677996422182"/>
        </c:manualLayout>
      </c:layout>
      <c:lineChart>
        <c:grouping val="standard"/>
        <c:varyColors val="0"/>
        <c:ser>
          <c:idx val="0"/>
          <c:order val="0"/>
          <c:spPr>
            <a:ln w="12700" cap="rnd">
              <a:solidFill>
                <a:schemeClr val="tx1"/>
              </a:solidFill>
              <a:round/>
            </a:ln>
            <a:effectLst/>
            <a:sp3d contourW="12700"/>
          </c:spPr>
          <c:marker>
            <c:symbol val="diamond"/>
            <c:size val="4"/>
            <c:spPr>
              <a:solidFill>
                <a:schemeClr val="tx1"/>
              </a:solidFill>
              <a:ln w="9525">
                <a:solidFill>
                  <a:schemeClr val="tx1"/>
                </a:solidFill>
              </a:ln>
              <a:effectLst/>
            </c:spPr>
          </c:marker>
          <c:dLbls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200" b="0" i="0" u="none" strike="noStrike" kern="1200" baseline="0">
                    <a:solidFill>
                      <a:sysClr val="windowText" lastClr="000000"/>
                    </a:solidFill>
                    <a:latin typeface="+mn-ea"/>
                    <a:ea typeface="+mn-ea"/>
                    <a:cs typeface="+mn-ea"/>
                    <a:sym typeface="+mn-ea"/>
                  </a:defRPr>
                </a:pPr>
              </a:p>
            </c:txPr>
            <c:dLblPos val="t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[工作簿1]Sheet2!$A$2:$A$6</c:f>
              <c:numCache>
                <c:formatCode>General</c:formatCode>
                <c:ptCount val="5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  <c:pt idx="3">
                  <c:v>2021</c:v>
                </c:pt>
                <c:pt idx="4">
                  <c:v>2022</c:v>
                </c:pt>
              </c:numCache>
            </c:numRef>
          </c:cat>
          <c:val>
            <c:numRef>
              <c:f>[工作簿1]Sheet2!$B$2:$B$6</c:f>
              <c:numCache>
                <c:formatCode>General</c:formatCode>
                <c:ptCount val="5"/>
                <c:pt idx="0">
                  <c:v>43.6</c:v>
                </c:pt>
                <c:pt idx="1">
                  <c:v>44.7</c:v>
                </c:pt>
                <c:pt idx="2">
                  <c:v>46.4</c:v>
                </c:pt>
                <c:pt idx="3">
                  <c:v>48.4</c:v>
                </c:pt>
                <c:pt idx="4">
                  <c:v>49.3</c:v>
                </c:pt>
              </c:numCache>
            </c:numRef>
          </c:val>
          <c:smooth val="0"/>
        </c:ser>
        <c:dLbls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172219579"/>
        <c:axId val="15851195"/>
      </c:lineChart>
      <c:catAx>
        <c:axId val="172219579"/>
        <c:scaling>
          <c:orientation val="minMax"/>
        </c:scaling>
        <c:delete val="0"/>
        <c:axPos val="b"/>
        <c:title>
          <c:tx>
            <c:rich>
              <a:bodyPr rot="0" spcFirstLastPara="0" vertOverflow="ellipsis" vert="horz" wrap="square" anchor="ctr" anchorCtr="1"/>
              <a:lstStyle/>
              <a:p>
                <a:pPr defTabSz="914400">
                  <a:defRPr lang="zh-CN" sz="1400" b="0" i="0" u="none" strike="noStrike" kern="1200" baseline="0">
                    <a:solidFill>
                      <a:sysClr val="windowText" lastClr="000000"/>
                    </a:solidFill>
                    <a:latin typeface="+mn-ea"/>
                    <a:ea typeface="+mn-ea"/>
                    <a:cs typeface="+mn-ea"/>
                    <a:sym typeface="+mn-ea"/>
                  </a:defRPr>
                </a:pPr>
                <a:r>
                  <a:rPr lang="en-US" altLang="zh-CN" sz="1400" b="0">
                    <a:solidFill>
                      <a:sysClr val="windowText" lastClr="000000"/>
                    </a:solidFill>
                    <a:latin typeface="+mn-ea"/>
                    <a:ea typeface="+mn-ea"/>
                    <a:cs typeface="+mn-ea"/>
                    <a:sym typeface="+mn-ea"/>
                  </a:rPr>
                  <a:t>%</a:t>
                </a:r>
                <a:endParaRPr sz="1400" b="0">
                  <a:solidFill>
                    <a:sysClr val="windowText" lastClr="000000"/>
                  </a:solidFill>
                  <a:latin typeface="+mn-ea"/>
                  <a:ea typeface="+mn-ea"/>
                  <a:cs typeface="+mn-ea"/>
                  <a:sym typeface="+mn-ea"/>
                </a:endParaRPr>
              </a:p>
            </c:rich>
          </c:tx>
          <c:layout>
            <c:manualLayout>
              <c:xMode val="edge"/>
              <c:yMode val="edge"/>
              <c:x val="0.0256880733944954"/>
              <c:y val="0.133993356062593"/>
            </c:manualLayout>
          </c:layout>
          <c:overlay val="0"/>
          <c:spPr>
            <a:noFill/>
            <a:ln>
              <a:noFill/>
            </a:ln>
            <a:effectLst/>
          </c:spPr>
        </c:title>
        <c:numFmt formatCode="General" sourceLinked="0"/>
        <c:majorTickMark val="in"/>
        <c:minorTickMark val="none"/>
        <c:tickLblPos val="nextTo"/>
        <c:spPr>
          <a:noFill/>
          <a:ln w="9525" cap="flat" cmpd="sng" algn="ctr">
            <a:solidFill>
              <a:schemeClr val="tx1"/>
            </a:solidFill>
            <a:round/>
          </a:ln>
          <a:effectLst/>
        </c:spPr>
        <c:txPr>
          <a:bodyPr rot="-60000000" spcFirstLastPara="0" vertOverflow="ellipsis" vert="horz" wrap="square" anchor="ctr" anchorCtr="1"/>
          <a:lstStyle/>
          <a:p>
            <a:pPr>
              <a:defRPr lang="zh-CN" sz="1200" b="0" i="0" u="none" strike="noStrike" kern="1200" baseline="0">
                <a:solidFill>
                  <a:sysClr val="windowText" lastClr="000000"/>
                </a:solidFill>
                <a:latin typeface="+mn-ea"/>
                <a:ea typeface="+mn-ea"/>
                <a:cs typeface="+mn-ea"/>
                <a:sym typeface="+mn-ea"/>
              </a:defRPr>
            </a:pPr>
          </a:p>
        </c:txPr>
        <c:crossAx val="15851195"/>
        <c:crosses val="autoZero"/>
        <c:auto val="1"/>
        <c:lblAlgn val="ctr"/>
        <c:lblOffset val="100"/>
        <c:noMultiLvlLbl val="0"/>
      </c:catAx>
      <c:valAx>
        <c:axId val="15851195"/>
        <c:scaling>
          <c:orientation val="minMax"/>
        </c:scaling>
        <c:delete val="0"/>
        <c:axPos val="l"/>
        <c:numFmt formatCode="#,##0.0_);[Red]\(#,##0.0\)" sourceLinked="0"/>
        <c:majorTickMark val="in"/>
        <c:minorTickMark val="none"/>
        <c:tickLblPos val="nextTo"/>
        <c:spPr>
          <a:noFill/>
          <a:ln>
            <a:solidFill>
              <a:schemeClr val="tx1"/>
            </a:solidFill>
          </a:ln>
          <a:effectLst/>
        </c:spPr>
        <c:txPr>
          <a:bodyPr rot="-60000000" spcFirstLastPara="0" vertOverflow="ellipsis" vert="horz" wrap="square" anchor="ctr" anchorCtr="1"/>
          <a:lstStyle/>
          <a:p>
            <a:pPr>
              <a:defRPr lang="zh-CN" sz="1200" b="0" i="0" u="none" strike="noStrike" kern="1200" baseline="0">
                <a:solidFill>
                  <a:sysClr val="windowText" lastClr="000000"/>
                </a:solidFill>
                <a:latin typeface="+mn-ea"/>
                <a:ea typeface="+mn-ea"/>
                <a:cs typeface="+mn-ea"/>
                <a:sym typeface="+mn-ea"/>
              </a:defRPr>
            </a:pPr>
          </a:p>
        </c:txPr>
        <c:crossAx val="172219579"/>
        <c:crosses val="autoZero"/>
        <c:crossBetween val="between"/>
        <c:majorUnit val="2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noFill/>
    <a:ln w="9525" cap="flat" cmpd="sng" algn="ctr">
      <a:noFill/>
      <a:round/>
    </a:ln>
    <a:effectLst/>
  </c:spPr>
  <c:txPr>
    <a:bodyPr/>
    <a:lstStyle/>
    <a:p>
      <a:pPr>
        <a:defRPr lang="zh-CN" sz="1200" b="0">
          <a:solidFill>
            <a:sysClr val="windowText" lastClr="000000"/>
          </a:solidFill>
          <a:latin typeface="+mn-ea"/>
          <a:ea typeface="+mn-ea"/>
          <a:cs typeface="+mn-ea"/>
          <a:sym typeface="+mn-ea"/>
        </a:defRPr>
      </a:pPr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 defTabSz="914400">
              <a:defRPr lang="zh-CN" sz="1400" b="0" i="0" u="none" strike="noStrike" kern="1200" spc="0" baseline="0">
                <a:solidFill>
                  <a:sysClr val="windowText" lastClr="000000"/>
                </a:solidFill>
                <a:latin typeface="宋体" panose="02010600030101010101" charset="-122"/>
                <a:ea typeface="宋体" panose="02010600030101010101" charset="-122"/>
                <a:cs typeface="宋体" panose="02010600030101010101" charset="-122"/>
                <a:sym typeface="宋体" panose="02010600030101010101" charset="-122"/>
              </a:defRPr>
            </a:pPr>
            <a:r>
              <a:rPr altLang="en-US">
                <a:solidFill>
                  <a:sysClr val="windowText" lastClr="000000"/>
                </a:solidFill>
                <a:latin typeface="宋体" panose="02010600030101010101" charset="-122"/>
                <a:ea typeface="宋体" panose="02010600030101010101" charset="-122"/>
                <a:cs typeface="宋体" panose="02010600030101010101" charset="-122"/>
                <a:sym typeface="宋体" panose="02010600030101010101" charset="-122"/>
              </a:rPr>
              <a:t>图</a:t>
            </a:r>
            <a:r>
              <a:rPr lang="en-US" altLang="zh-CN">
                <a:solidFill>
                  <a:sysClr val="windowText" lastClr="000000"/>
                </a:solidFill>
                <a:latin typeface="宋体" panose="02010600030101010101" charset="-122"/>
                <a:ea typeface="宋体" panose="02010600030101010101" charset="-122"/>
                <a:cs typeface="宋体" panose="02010600030101010101" charset="-122"/>
                <a:sym typeface="宋体" panose="02010600030101010101" charset="-122"/>
              </a:rPr>
              <a:t>3  2018-2022</a:t>
            </a:r>
            <a:r>
              <a:rPr altLang="en-US">
                <a:solidFill>
                  <a:sysClr val="windowText" lastClr="000000"/>
                </a:solidFill>
                <a:latin typeface="宋体" panose="02010600030101010101" charset="-122"/>
                <a:ea typeface="宋体" panose="02010600030101010101" charset="-122"/>
                <a:cs typeface="宋体" panose="02010600030101010101" charset="-122"/>
                <a:sym typeface="宋体" panose="02010600030101010101" charset="-122"/>
              </a:rPr>
              <a:t>年全县粮食总量</a:t>
            </a:r>
            <a:endParaRPr lang="en-US" altLang="zh-CN">
              <a:solidFill>
                <a:sysClr val="windowText" lastClr="000000"/>
              </a:solidFill>
              <a:latin typeface="宋体" panose="02010600030101010101" charset="-122"/>
              <a:ea typeface="宋体" panose="02010600030101010101" charset="-122"/>
              <a:cs typeface="宋体" panose="02010600030101010101" charset="-122"/>
              <a:sym typeface="宋体" panose="02010600030101010101" charset="-122"/>
            </a:endParaRPr>
          </a:p>
        </c:rich>
      </c:tx>
      <c:layout>
        <c:manualLayout>
          <c:xMode val="edge"/>
          <c:yMode val="edge"/>
          <c:x val="0.279027777777778"/>
          <c:y val="0.0101502576523949"/>
        </c:manualLayout>
      </c:layout>
      <c:overlay val="0"/>
      <c:spPr>
        <a:noFill/>
        <a:ln>
          <a:noFill/>
        </a:ln>
        <a:effectLst/>
      </c:spPr>
    </c:title>
    <c:autoTitleDeleted val="0"/>
    <c:plotArea>
      <c:layout>
        <c:manualLayout>
          <c:layoutTarget val="inner"/>
          <c:xMode val="edge"/>
          <c:yMode val="edge"/>
          <c:x val="0.119444444444444"/>
          <c:y val="0.179398148148148"/>
          <c:w val="0.845833333333333"/>
          <c:h val="0.715046296296296"/>
        </c:manualLayout>
      </c:layout>
      <c:barChart>
        <c:barDir val="col"/>
        <c:grouping val="clustered"/>
        <c:varyColors val="0"/>
        <c:ser>
          <c:idx val="1"/>
          <c:order val="0"/>
          <c:spPr>
            <a:noFill/>
            <a:ln>
              <a:solidFill>
                <a:schemeClr val="tx1"/>
              </a:solidFill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200" b="0" i="0" u="none" strike="noStrike" kern="1200" baseline="0">
                    <a:solidFill>
                      <a:sysClr val="windowText" lastClr="000000"/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[工作簿1.xlsx]Sheet1!$A$2:$A$6</c:f>
              <c:numCache>
                <c:formatCode>General</c:formatCode>
                <c:ptCount val="5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  <c:pt idx="3">
                  <c:v>2021</c:v>
                </c:pt>
                <c:pt idx="4">
                  <c:v>2022</c:v>
                </c:pt>
              </c:numCache>
            </c:numRef>
          </c:cat>
          <c:val>
            <c:numRef>
              <c:f>[工作簿1.xlsx]Sheet1!$B$2:$B$6</c:f>
              <c:numCache>
                <c:formatCode>General</c:formatCode>
                <c:ptCount val="5"/>
                <c:pt idx="0">
                  <c:v>181121</c:v>
                </c:pt>
                <c:pt idx="1">
                  <c:v>186310</c:v>
                </c:pt>
                <c:pt idx="2">
                  <c:v>189502</c:v>
                </c:pt>
                <c:pt idx="3">
                  <c:v>190533</c:v>
                </c:pt>
                <c:pt idx="4">
                  <c:v>193934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56"/>
        <c:overlap val="-27"/>
        <c:axId val="569046571"/>
        <c:axId val="903716422"/>
      </c:barChart>
      <c:catAx>
        <c:axId val="569046571"/>
        <c:scaling>
          <c:orientation val="minMax"/>
        </c:scaling>
        <c:delete val="0"/>
        <c:axPos val="b"/>
        <c:title>
          <c:tx>
            <c:rich>
              <a:bodyPr rot="0" spcFirstLastPara="0" vertOverflow="ellipsis" vert="horz" wrap="square" anchor="ctr" anchorCtr="1"/>
              <a:lstStyle/>
              <a:p>
                <a:pPr defTabSz="914400">
                  <a:defRPr lang="zh-CN" sz="1200" b="0" i="0" u="none" strike="noStrike" kern="1200" baseline="0">
                    <a:solidFill>
                      <a:sysClr val="windowText" lastClr="000000"/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sz="1200">
                    <a:solidFill>
                      <a:sysClr val="windowText" lastClr="000000"/>
                    </a:solidFill>
                  </a:rPr>
                  <a:t>吨</a:t>
                </a:r>
                <a:endParaRPr sz="1200">
                  <a:solidFill>
                    <a:sysClr val="windowText" lastClr="000000"/>
                  </a:solidFill>
                </a:endParaRPr>
              </a:p>
            </c:rich>
          </c:tx>
          <c:layout>
            <c:manualLayout>
              <c:xMode val="edge"/>
              <c:yMode val="edge"/>
              <c:x val="0.0415277777777778"/>
              <c:y val="0.075"/>
            </c:manualLayout>
          </c:layout>
          <c:overlay val="0"/>
          <c:spPr>
            <a:noFill/>
            <a:ln>
              <a:noFill/>
            </a:ln>
            <a:effectLst/>
          </c:spPr>
        </c:title>
        <c:majorTickMark val="none"/>
        <c:minorTickMark val="none"/>
        <c:tickLblPos val="nextTo"/>
        <c:spPr>
          <a:noFill/>
          <a:ln w="9525" cap="flat" cmpd="sng" algn="ctr">
            <a:solidFill>
              <a:schemeClr val="tx1"/>
            </a:solidFill>
            <a:round/>
          </a:ln>
          <a:effectLst/>
        </c:spPr>
        <c:txPr>
          <a:bodyPr rot="-60000000" spcFirstLastPara="0" vertOverflow="ellipsis" vert="horz" wrap="square" anchor="ctr" anchorCtr="1"/>
          <a:lstStyle/>
          <a:p>
            <a:pPr>
              <a:defRPr lang="zh-CN" sz="1200" b="0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</a:p>
        </c:txPr>
        <c:crossAx val="903716422"/>
        <c:crosses val="autoZero"/>
        <c:auto val="1"/>
        <c:lblAlgn val="ctr"/>
        <c:lblOffset val="100"/>
        <c:noMultiLvlLbl val="0"/>
      </c:catAx>
      <c:valAx>
        <c:axId val="903716422"/>
        <c:scaling>
          <c:orientation val="minMax"/>
        </c:scaling>
        <c:delete val="0"/>
        <c:axPos val="l"/>
        <c:numFmt formatCode="General" sourceLinked="1"/>
        <c:majorTickMark val="in"/>
        <c:minorTickMark val="none"/>
        <c:tickLblPos val="nextTo"/>
        <c:spPr>
          <a:noFill/>
          <a:ln w="12700" cmpd="sng">
            <a:solidFill>
              <a:schemeClr val="tx1"/>
            </a:solidFill>
            <a:prstDash val="solid"/>
          </a:ln>
          <a:effectLst/>
        </c:spPr>
        <c:txPr>
          <a:bodyPr rot="-60000000" spcFirstLastPara="0" vertOverflow="ellipsis" vert="horz" wrap="square" anchor="ctr" anchorCtr="1"/>
          <a:lstStyle/>
          <a:p>
            <a:pPr>
              <a:defRPr lang="zh-CN" sz="1200" b="0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</a:p>
        </c:txPr>
        <c:crossAx val="569046571"/>
        <c:crosses val="autoZero"/>
        <c:crossBetween val="between"/>
        <c:majorUnit val="4000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noFill/>
    <a:ln w="9525" cap="flat" cmpd="sng" algn="ctr">
      <a:noFill/>
      <a:round/>
    </a:ln>
    <a:effectLst/>
  </c:spPr>
  <c:txPr>
    <a:bodyPr/>
    <a:lstStyle/>
    <a:p>
      <a:pPr>
        <a:defRPr lang="zh-CN">
          <a:solidFill>
            <a:sysClr val="windowText" lastClr="000000"/>
          </a:solidFill>
        </a:defRPr>
      </a:pPr>
    </a:p>
  </c:tx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 defTabSz="914400">
              <a:defRPr lang="zh-CN" sz="1260" b="1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宋体" panose="02010600030101010101" charset="-122"/>
                <a:ea typeface="宋体" panose="02010600030101010101" charset="-122"/>
                <a:cs typeface="宋体" panose="02010600030101010101" charset="-122"/>
                <a:sym typeface="宋体" panose="02010600030101010101" charset="-122"/>
              </a:defRPr>
            </a:pPr>
            <a:r>
              <a:rPr altLang="en-US" sz="1260" b="1">
                <a:latin typeface="宋体" panose="02010600030101010101" charset="-122"/>
                <a:ea typeface="宋体" panose="02010600030101010101" charset="-122"/>
                <a:cs typeface="宋体" panose="02010600030101010101" charset="-122"/>
                <a:sym typeface="宋体" panose="02010600030101010101" charset="-122"/>
              </a:rPr>
              <a:t>图</a:t>
            </a:r>
            <a:r>
              <a:rPr lang="en-US" altLang="zh-CN" sz="1260" b="1">
                <a:latin typeface="宋体" panose="02010600030101010101" charset="-122"/>
                <a:ea typeface="宋体" panose="02010600030101010101" charset="-122"/>
                <a:cs typeface="宋体" panose="02010600030101010101" charset="-122"/>
                <a:sym typeface="宋体" panose="02010600030101010101" charset="-122"/>
              </a:rPr>
              <a:t>4  2018-2022</a:t>
            </a:r>
            <a:r>
              <a:rPr altLang="en-US" sz="1260" b="1">
                <a:latin typeface="宋体" panose="02010600030101010101" charset="-122"/>
                <a:ea typeface="宋体" panose="02010600030101010101" charset="-122"/>
                <a:cs typeface="宋体" panose="02010600030101010101" charset="-122"/>
                <a:sym typeface="宋体" panose="02010600030101010101" charset="-122"/>
              </a:rPr>
              <a:t>年全县全部工业增加值及增速</a:t>
            </a:r>
            <a:endParaRPr altLang="en-US" sz="1260" b="1">
              <a:latin typeface="宋体" panose="02010600030101010101" charset="-122"/>
              <a:ea typeface="宋体" panose="02010600030101010101" charset="-122"/>
              <a:cs typeface="宋体" panose="02010600030101010101" charset="-122"/>
              <a:sym typeface="宋体" panose="02010600030101010101" charset="-122"/>
            </a:endParaRPr>
          </a:p>
        </c:rich>
      </c:tx>
      <c:layout>
        <c:manualLayout>
          <c:xMode val="edge"/>
          <c:yMode val="edge"/>
          <c:x val="0.212643327419217"/>
          <c:y val="0.0254857538609824"/>
        </c:manualLayout>
      </c:layout>
      <c:overlay val="0"/>
      <c:spPr>
        <a:noFill/>
        <a:ln>
          <a:noFill/>
        </a:ln>
        <a:effectLst/>
      </c:spPr>
    </c:title>
    <c:autoTitleDeleted val="0"/>
    <c:plotArea>
      <c:layout>
        <c:manualLayout>
          <c:layoutTarget val="inner"/>
          <c:xMode val="edge"/>
          <c:yMode val="edge"/>
          <c:x val="0.119640564826701"/>
          <c:y val="0.276710796196159"/>
          <c:w val="0.816501342046913"/>
          <c:h val="0.634682080924856"/>
        </c:manualLayout>
      </c:layout>
      <c:barChart>
        <c:barDir val="col"/>
        <c:grouping val="stacked"/>
        <c:varyColors val="0"/>
        <c:ser>
          <c:idx val="0"/>
          <c:order val="0"/>
          <c:tx>
            <c:strRef>
              <c:f>"总量"</c:f>
              <c:strCache>
                <c:ptCount val="1"/>
                <c:pt idx="0">
                  <c:v>总量</c:v>
                </c:pt>
              </c:strCache>
            </c:strRef>
          </c:tx>
          <c:spPr>
            <a:noFill/>
            <a:ln w="3175">
              <a:solidFill>
                <a:schemeClr val="tx1"/>
              </a:solidFill>
            </a:ln>
            <a:effectLst/>
            <a:sp3d contourW="3175"/>
          </c:spPr>
          <c:invertIfNegative val="0"/>
          <c:dLbls>
            <c:dLbl>
              <c:idx val="4"/>
              <c:layout>
                <c:manualLayout>
                  <c:x val="0.00361489336064586"/>
                  <c:y val="-0.0445009535918627"/>
                </c:manualLayout>
              </c:layout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2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宋体" panose="02010600030101010101" charset="-122"/>
                    <a:ea typeface="宋体" panose="02010600030101010101" charset="-122"/>
                    <a:cs typeface="宋体" panose="02010600030101010101" charset="-122"/>
                    <a:sym typeface="宋体" panose="02010600030101010101" charset="-122"/>
                  </a:defRPr>
                </a:pPr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[工作簿1.xlsx]Sheet2!$A$1:$A$5</c:f>
              <c:numCache>
                <c:formatCode>General</c:formatCode>
                <c:ptCount val="5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  <c:pt idx="3">
                  <c:v>2021</c:v>
                </c:pt>
                <c:pt idx="4">
                  <c:v>2022</c:v>
                </c:pt>
              </c:numCache>
            </c:numRef>
          </c:cat>
          <c:val>
            <c:numRef>
              <c:f>[工作簿1.xlsx]Sheet2!$B$1:$B$5</c:f>
              <c:numCache>
                <c:formatCode>General</c:formatCode>
                <c:ptCount val="5"/>
                <c:pt idx="0">
                  <c:v>379761</c:v>
                </c:pt>
                <c:pt idx="1">
                  <c:v>425537</c:v>
                </c:pt>
                <c:pt idx="2">
                  <c:v>440278</c:v>
                </c:pt>
                <c:pt idx="3">
                  <c:v>538982</c:v>
                </c:pt>
                <c:pt idx="4">
                  <c:v>567714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51"/>
        <c:overlap val="100"/>
        <c:axId val="199249096"/>
        <c:axId val="182864167"/>
      </c:barChart>
      <c:lineChart>
        <c:grouping val="standard"/>
        <c:varyColors val="0"/>
        <c:ser>
          <c:idx val="2"/>
          <c:order val="1"/>
          <c:tx>
            <c:strRef>
              <c:f>"增速"</c:f>
              <c:strCache>
                <c:ptCount val="1"/>
                <c:pt idx="0">
                  <c:v>增速</c:v>
                </c:pt>
              </c:strCache>
            </c:strRef>
          </c:tx>
          <c:spPr>
            <a:ln w="6350" cap="rnd">
              <a:solidFill>
                <a:schemeClr val="tx1"/>
              </a:solidFill>
              <a:round/>
            </a:ln>
            <a:effectLst/>
            <a:sp3d contourW="6350"/>
          </c:spPr>
          <c:marker>
            <c:symbol val="diamond"/>
            <c:size val="3"/>
            <c:spPr>
              <a:solidFill>
                <a:schemeClr val="tx1"/>
              </a:solidFill>
              <a:ln w="12700" cmpd="sng">
                <a:solidFill>
                  <a:schemeClr val="tx1"/>
                </a:solidFill>
                <a:prstDash val="solid"/>
              </a:ln>
              <a:effectLst/>
            </c:spPr>
          </c:marker>
          <c:dPt>
            <c:idx val="3"/>
            <c:marker>
              <c:symbol val="diamond"/>
              <c:size val="3"/>
              <c:spPr>
                <a:solidFill>
                  <a:schemeClr val="tx1"/>
                </a:solidFill>
                <a:ln w="19050" cmpd="sng">
                  <a:solidFill>
                    <a:schemeClr val="tx1"/>
                  </a:solidFill>
                  <a:prstDash val="solid"/>
                </a:ln>
                <a:effectLst/>
              </c:spPr>
            </c:marker>
            <c:bubble3D val="0"/>
          </c:dPt>
          <c:dLbls>
            <c:dLbl>
              <c:idx val="4"/>
              <c:layout>
                <c:manualLayout>
                  <c:x val="-0.00180744668032293"/>
                  <c:y val="0.101716465352829"/>
                </c:manualLayout>
              </c:layout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2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宋体" panose="02010600030101010101" charset="-122"/>
                    <a:ea typeface="宋体" panose="02010600030101010101" charset="-122"/>
                    <a:cs typeface="宋体" panose="02010600030101010101" charset="-122"/>
                    <a:sym typeface="宋体" panose="02010600030101010101" charset="-122"/>
                  </a:defRPr>
                </a:pPr>
              </a:p>
            </c:txPr>
            <c:dLblPos val="t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val>
            <c:numRef>
              <c:f>[工作簿1.xlsx]Sheet2!$C$1:$C$5</c:f>
              <c:numCache>
                <c:formatCode>General</c:formatCode>
                <c:ptCount val="5"/>
                <c:pt idx="0">
                  <c:v>7.8</c:v>
                </c:pt>
                <c:pt idx="1">
                  <c:v>6.4</c:v>
                </c:pt>
                <c:pt idx="2">
                  <c:v>4.5</c:v>
                </c:pt>
                <c:pt idx="3">
                  <c:v>8.1</c:v>
                </c:pt>
                <c:pt idx="4">
                  <c:v>3.4</c:v>
                </c:pt>
              </c:numCache>
            </c:numRef>
          </c:val>
          <c:smooth val="0"/>
        </c:ser>
        <c:dLbls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151712730"/>
        <c:axId val="372883260"/>
      </c:lineChart>
      <c:catAx>
        <c:axId val="199249096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noFill/>
          <a:ln w="9525" cap="flat" cmpd="sng" algn="ctr">
            <a:solidFill>
              <a:schemeClr val="tx1"/>
            </a:solidFill>
            <a:round/>
          </a:ln>
          <a:effectLst/>
        </c:spPr>
        <c:txPr>
          <a:bodyPr rot="-60000000" spcFirstLastPara="0" vertOverflow="ellipsis" vert="horz" wrap="square" anchor="ctr" anchorCtr="1"/>
          <a:lstStyle/>
          <a:p>
            <a:pPr>
              <a:defRPr lang="zh-CN" sz="105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宋体" panose="02010600030101010101" charset="-122"/>
                <a:ea typeface="宋体" panose="02010600030101010101" charset="-122"/>
                <a:cs typeface="宋体" panose="02010600030101010101" charset="-122"/>
                <a:sym typeface="宋体" panose="02010600030101010101" charset="-122"/>
              </a:defRPr>
            </a:pPr>
          </a:p>
        </c:txPr>
        <c:crossAx val="182864167"/>
        <c:crosses val="autoZero"/>
        <c:auto val="0"/>
        <c:lblAlgn val="ctr"/>
        <c:lblOffset val="100"/>
        <c:noMultiLvlLbl val="0"/>
      </c:catAx>
      <c:valAx>
        <c:axId val="182864167"/>
        <c:scaling>
          <c:orientation val="minMax"/>
        </c:scaling>
        <c:delete val="0"/>
        <c:axPos val="l"/>
        <c:title>
          <c:tx>
            <c:rich>
              <a:bodyPr rot="0" spcFirstLastPara="0" vertOverflow="ellipsis" vert="horz" wrap="square" anchor="ctr" anchorCtr="1"/>
              <a:lstStyle/>
              <a:p>
                <a:pPr defTabSz="914400">
                  <a:defRPr lang="zh-CN" sz="105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宋体" panose="02010600030101010101" charset="-122"/>
                    <a:ea typeface="宋体" panose="02010600030101010101" charset="-122"/>
                    <a:cs typeface="宋体" panose="02010600030101010101" charset="-122"/>
                    <a:sym typeface="宋体" panose="02010600030101010101" charset="-122"/>
                  </a:defRPr>
                </a:pPr>
                <a:r>
                  <a:rPr sz="1050">
                    <a:latin typeface="宋体" panose="02010600030101010101" charset="-122"/>
                    <a:ea typeface="宋体" panose="02010600030101010101" charset="-122"/>
                    <a:cs typeface="宋体" panose="02010600030101010101" charset="-122"/>
                    <a:sym typeface="宋体" panose="02010600030101010101" charset="-122"/>
                  </a:rPr>
                  <a:t>万元</a:t>
                </a:r>
                <a:endParaRPr sz="1050">
                  <a:latin typeface="宋体" panose="02010600030101010101" charset="-122"/>
                  <a:ea typeface="宋体" panose="02010600030101010101" charset="-122"/>
                  <a:cs typeface="宋体" panose="02010600030101010101" charset="-122"/>
                  <a:sym typeface="宋体" panose="02010600030101010101" charset="-122"/>
                </a:endParaRPr>
              </a:p>
            </c:rich>
          </c:tx>
          <c:layout>
            <c:manualLayout>
              <c:xMode val="edge"/>
              <c:yMode val="edge"/>
              <c:x val="0.0385817571638522"/>
              <c:y val="0.189759773893553"/>
            </c:manualLayout>
          </c:layout>
          <c:overlay val="0"/>
          <c:spPr>
            <a:noFill/>
            <a:ln>
              <a:noFill/>
            </a:ln>
            <a:effectLst/>
          </c:spPr>
        </c:title>
        <c:numFmt formatCode="General" sourceLinked="1"/>
        <c:majorTickMark val="in"/>
        <c:minorTickMark val="none"/>
        <c:tickLblPos val="nextTo"/>
        <c:spPr>
          <a:noFill/>
          <a:ln>
            <a:solidFill>
              <a:schemeClr val="tx1"/>
            </a:solidFill>
          </a:ln>
          <a:effectLst/>
        </c:spPr>
        <c:txPr>
          <a:bodyPr rot="-60000000" spcFirstLastPara="0" vertOverflow="ellipsis" vert="horz" wrap="square" anchor="ctr" anchorCtr="1"/>
          <a:lstStyle/>
          <a:p>
            <a:pPr>
              <a:defRPr lang="zh-CN" sz="105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宋体" panose="02010600030101010101" charset="-122"/>
                <a:ea typeface="宋体" panose="02010600030101010101" charset="-122"/>
                <a:cs typeface="宋体" panose="02010600030101010101" charset="-122"/>
                <a:sym typeface="宋体" panose="02010600030101010101" charset="-122"/>
              </a:defRPr>
            </a:pPr>
          </a:p>
        </c:txPr>
        <c:crossAx val="199249096"/>
        <c:crosses val="autoZero"/>
        <c:crossBetween val="between"/>
        <c:majorUnit val="200000"/>
      </c:valAx>
      <c:catAx>
        <c:axId val="151712730"/>
        <c:scaling>
          <c:orientation val="minMax"/>
        </c:scaling>
        <c:delete val="1"/>
        <c:axPos val="b"/>
        <c:majorTickMark val="none"/>
        <c:minorTickMark val="none"/>
        <c:tickLblPos val="nextTo"/>
        <c:txPr>
          <a:bodyPr rot="-60000000" spcFirstLastPara="0" vertOverflow="ellipsis" vert="horz" wrap="square" anchor="ctr" anchorCtr="1"/>
          <a:lstStyle/>
          <a:p>
            <a:pPr>
              <a:defRPr lang="zh-CN" sz="105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宋体" panose="02010600030101010101" charset="-122"/>
                <a:ea typeface="宋体" panose="02010600030101010101" charset="-122"/>
                <a:cs typeface="宋体" panose="02010600030101010101" charset="-122"/>
                <a:sym typeface="宋体" panose="02010600030101010101" charset="-122"/>
              </a:defRPr>
            </a:pPr>
          </a:p>
        </c:txPr>
        <c:crossAx val="372883260"/>
        <c:crosses val="autoZero"/>
        <c:auto val="1"/>
        <c:lblAlgn val="ctr"/>
        <c:lblOffset val="100"/>
        <c:noMultiLvlLbl val="0"/>
      </c:catAx>
      <c:valAx>
        <c:axId val="372883260"/>
        <c:scaling>
          <c:orientation val="minMax"/>
        </c:scaling>
        <c:delete val="0"/>
        <c:axPos val="r"/>
        <c:title>
          <c:tx>
            <c:rich>
              <a:bodyPr rot="0" spcFirstLastPara="0" vertOverflow="ellipsis" vert="horz" wrap="square" anchor="ctr" anchorCtr="1"/>
              <a:lstStyle/>
              <a:p>
                <a:pPr defTabSz="914400">
                  <a:defRPr lang="zh-CN" sz="12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宋体" panose="02010600030101010101" charset="-122"/>
                    <a:ea typeface="宋体" panose="02010600030101010101" charset="-122"/>
                    <a:cs typeface="宋体" panose="02010600030101010101" charset="-122"/>
                    <a:sym typeface="宋体" panose="02010600030101010101" charset="-122"/>
                  </a:defRPr>
                </a:pPr>
                <a:r>
                  <a:rPr lang="en-US" altLang="zh-CN" sz="1200">
                    <a:latin typeface="宋体" panose="02010600030101010101" charset="-122"/>
                    <a:ea typeface="宋体" panose="02010600030101010101" charset="-122"/>
                    <a:cs typeface="宋体" panose="02010600030101010101" charset="-122"/>
                    <a:sym typeface="宋体" panose="02010600030101010101" charset="-122"/>
                  </a:rPr>
                  <a:t>%</a:t>
                </a:r>
                <a:endParaRPr lang="en-US" altLang="zh-CN" sz="1200">
                  <a:latin typeface="宋体" panose="02010600030101010101" charset="-122"/>
                  <a:ea typeface="宋体" panose="02010600030101010101" charset="-122"/>
                  <a:cs typeface="宋体" panose="02010600030101010101" charset="-122"/>
                  <a:sym typeface="宋体" panose="02010600030101010101" charset="-122"/>
                </a:endParaRPr>
              </a:p>
            </c:rich>
          </c:tx>
          <c:layout>
            <c:manualLayout>
              <c:xMode val="edge"/>
              <c:yMode val="edge"/>
              <c:x val="0.948675007325414"/>
              <c:y val="0.203177547920574"/>
            </c:manualLayout>
          </c:layout>
          <c:overlay val="0"/>
          <c:spPr>
            <a:noFill/>
            <a:ln>
              <a:noFill/>
            </a:ln>
            <a:effectLst/>
          </c:spPr>
        </c:title>
        <c:numFmt formatCode="General" sourceLinked="1"/>
        <c:majorTickMark val="in"/>
        <c:minorTickMark val="none"/>
        <c:tickLblPos val="nextTo"/>
        <c:spPr>
          <a:noFill/>
          <a:ln>
            <a:solidFill>
              <a:schemeClr val="tx1"/>
            </a:solidFill>
          </a:ln>
          <a:effectLst/>
        </c:spPr>
        <c:txPr>
          <a:bodyPr rot="-60000000" spcFirstLastPara="0" vertOverflow="ellipsis" vert="horz" wrap="square" anchor="ctr" anchorCtr="1"/>
          <a:lstStyle/>
          <a:p>
            <a:pPr>
              <a:defRPr lang="zh-CN" sz="105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宋体" panose="02010600030101010101" charset="-122"/>
                <a:ea typeface="宋体" panose="02010600030101010101" charset="-122"/>
                <a:cs typeface="宋体" panose="02010600030101010101" charset="-122"/>
                <a:sym typeface="宋体" panose="02010600030101010101" charset="-122"/>
              </a:defRPr>
            </a:pPr>
          </a:p>
        </c:txPr>
        <c:crossAx val="151712730"/>
        <c:crosses val="max"/>
        <c:crossBetween val="between"/>
        <c:majorUnit val="2"/>
      </c:valAx>
      <c:spPr>
        <a:noFill/>
        <a:ln>
          <a:noFill/>
        </a:ln>
        <a:effectLst/>
      </c:spPr>
    </c:plotArea>
    <c:legend>
      <c:legendPos val="tr"/>
      <c:legendEntry>
        <c:idx val="0"/>
        <c:txPr>
          <a:bodyPr rot="0" spcFirstLastPara="0" vertOverflow="ellipsis" vert="horz" wrap="square" anchor="t" anchorCtr="1"/>
          <a:lstStyle/>
          <a:p>
            <a:pPr>
              <a:defRPr lang="zh-CN" sz="105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宋体" panose="02010600030101010101" charset="-122"/>
                <a:ea typeface="宋体" panose="02010600030101010101" charset="-122"/>
                <a:cs typeface="宋体" panose="02010600030101010101" charset="-122"/>
                <a:sym typeface="宋体" panose="02010600030101010101" charset="-122"/>
              </a:defRPr>
            </a:pPr>
          </a:p>
        </c:txPr>
      </c:legendEntry>
      <c:legendEntry>
        <c:idx val="1"/>
        <c:txPr>
          <a:bodyPr rot="0" spcFirstLastPara="0" vertOverflow="ellipsis" vert="horz" wrap="square" anchor="t" anchorCtr="1"/>
          <a:lstStyle/>
          <a:p>
            <a:pPr>
              <a:defRPr lang="zh-CN" sz="105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宋体" panose="02010600030101010101" charset="-122"/>
                <a:ea typeface="宋体" panose="02010600030101010101" charset="-122"/>
                <a:cs typeface="宋体" panose="02010600030101010101" charset="-122"/>
                <a:sym typeface="宋体" panose="02010600030101010101" charset="-122"/>
              </a:defRPr>
            </a:pPr>
          </a:p>
        </c:txPr>
      </c:legendEntry>
      <c:layout>
        <c:manualLayout>
          <c:xMode val="edge"/>
          <c:yMode val="edge"/>
          <c:x val="0.707965287102067"/>
          <c:y val="0.107132521178155"/>
          <c:w val="0.217916666666667"/>
          <c:h val="0.103268226648617"/>
        </c:manualLayout>
      </c:layout>
      <c:overlay val="0"/>
      <c:spPr>
        <a:noFill/>
        <a:ln>
          <a:noFill/>
        </a:ln>
        <a:effectLst/>
      </c:spPr>
      <c:txPr>
        <a:bodyPr rot="0" spcFirstLastPara="0" vertOverflow="ellipsis" vert="horz" wrap="square" anchor="t" anchorCtr="1"/>
        <a:lstStyle/>
        <a:p>
          <a:pPr>
            <a:defRPr lang="zh-CN" sz="105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宋体" panose="02010600030101010101" charset="-122"/>
              <a:ea typeface="宋体" panose="02010600030101010101" charset="-122"/>
              <a:cs typeface="宋体" panose="02010600030101010101" charset="-122"/>
              <a:sym typeface="宋体" panose="02010600030101010101" charset="-122"/>
            </a:defRPr>
          </a:pPr>
        </a:p>
      </c:txPr>
    </c:legend>
    <c:plotVisOnly val="1"/>
    <c:dispBlanksAs val="gap"/>
    <c:showDLblsOverMax val="0"/>
  </c:chart>
  <c:spPr>
    <a:noFill/>
    <a:ln w="9525" cap="flat" cmpd="sng" algn="ctr">
      <a:noFill/>
      <a:round/>
    </a:ln>
    <a:effectLst/>
  </c:spPr>
  <c:txPr>
    <a:bodyPr/>
    <a:lstStyle/>
    <a:p>
      <a:pPr>
        <a:defRPr lang="zh-CN" sz="1050">
          <a:latin typeface="宋体" panose="02010600030101010101" charset="-122"/>
          <a:ea typeface="宋体" panose="02010600030101010101" charset="-122"/>
          <a:cs typeface="宋体" panose="02010600030101010101" charset="-122"/>
          <a:sym typeface="宋体" panose="02010600030101010101" charset="-122"/>
        </a:defRPr>
      </a:pPr>
    </a:p>
  </c:txPr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 defTabSz="914400">
              <a:defRPr lang="zh-CN" sz="1200" b="1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宋体" panose="02010600030101010101" charset="-122"/>
                <a:ea typeface="宋体" panose="02010600030101010101" charset="-122"/>
                <a:cs typeface="宋体" panose="02010600030101010101" charset="-122"/>
                <a:sym typeface="宋体" panose="02010600030101010101" charset="-122"/>
              </a:defRPr>
            </a:pPr>
            <a:r>
              <a:rPr altLang="en-US" sz="1200" b="1">
                <a:latin typeface="宋体" panose="02010600030101010101" charset="-122"/>
                <a:ea typeface="宋体" panose="02010600030101010101" charset="-122"/>
                <a:cs typeface="宋体" panose="02010600030101010101" charset="-122"/>
                <a:sym typeface="宋体" panose="02010600030101010101" charset="-122"/>
              </a:rPr>
              <a:t>图</a:t>
            </a:r>
            <a:r>
              <a:rPr lang="en-US" altLang="zh-CN" sz="1200" b="1">
                <a:latin typeface="宋体" panose="02010600030101010101" charset="-122"/>
                <a:ea typeface="宋体" panose="02010600030101010101" charset="-122"/>
                <a:cs typeface="宋体" panose="02010600030101010101" charset="-122"/>
                <a:sym typeface="宋体" panose="02010600030101010101" charset="-122"/>
              </a:rPr>
              <a:t>5  2018-2022</a:t>
            </a:r>
            <a:r>
              <a:rPr altLang="en-US" sz="1200" b="1">
                <a:latin typeface="宋体" panose="02010600030101010101" charset="-122"/>
                <a:ea typeface="宋体" panose="02010600030101010101" charset="-122"/>
                <a:cs typeface="宋体" panose="02010600030101010101" charset="-122"/>
                <a:sym typeface="宋体" panose="02010600030101010101" charset="-122"/>
              </a:rPr>
              <a:t>年全县社会消费品零售总额及增速</a:t>
            </a:r>
            <a:endParaRPr altLang="en-US" sz="1200" b="1">
              <a:latin typeface="宋体" panose="02010600030101010101" charset="-122"/>
              <a:ea typeface="宋体" panose="02010600030101010101" charset="-122"/>
              <a:cs typeface="宋体" panose="02010600030101010101" charset="-122"/>
              <a:sym typeface="宋体" panose="02010600030101010101" charset="-122"/>
            </a:endParaRPr>
          </a:p>
        </c:rich>
      </c:tx>
      <c:layout>
        <c:manualLayout>
          <c:xMode val="edge"/>
          <c:yMode val="edge"/>
          <c:x val="0.191529099891553"/>
          <c:y val="0.0190355329949239"/>
        </c:manualLayout>
      </c:layout>
      <c:overlay val="0"/>
      <c:spPr>
        <a:noFill/>
        <a:ln>
          <a:noFill/>
        </a:ln>
        <a:effectLst/>
      </c:spPr>
    </c:title>
    <c:autoTitleDeleted val="0"/>
    <c:plotArea>
      <c:layout>
        <c:manualLayout>
          <c:layoutTarget val="inner"/>
          <c:xMode val="edge"/>
          <c:yMode val="edge"/>
          <c:x val="0.106904446318834"/>
          <c:y val="0.296319796954315"/>
          <c:w val="0.840655500662731"/>
          <c:h val="0.605626057529611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"总量"</c:f>
              <c:strCache>
                <c:ptCount val="1"/>
                <c:pt idx="0">
                  <c:v>总量</c:v>
                </c:pt>
              </c:strCache>
            </c:strRef>
          </c:tx>
          <c:spPr>
            <a:noFill/>
            <a:ln>
              <a:solidFill>
                <a:schemeClr val="tx1"/>
              </a:solidFill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5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[工作簿1.xlsx]Sheet3!$A$2:$A$6</c:f>
              <c:numCache>
                <c:formatCode>General</c:formatCode>
                <c:ptCount val="5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  <c:pt idx="3">
                  <c:v>2021</c:v>
                </c:pt>
                <c:pt idx="4">
                  <c:v>2022</c:v>
                </c:pt>
              </c:numCache>
            </c:numRef>
          </c:cat>
          <c:val>
            <c:numRef>
              <c:f>[工作簿1.xlsx]Sheet3!$B$2:$B$6</c:f>
              <c:numCache>
                <c:formatCode>General</c:formatCode>
                <c:ptCount val="5"/>
                <c:pt idx="0">
                  <c:v>704234</c:v>
                </c:pt>
                <c:pt idx="1">
                  <c:v>772423</c:v>
                </c:pt>
                <c:pt idx="2">
                  <c:v>506228</c:v>
                </c:pt>
                <c:pt idx="3">
                  <c:v>554550</c:v>
                </c:pt>
                <c:pt idx="4">
                  <c:v>562036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51"/>
        <c:overlap val="0"/>
        <c:axId val="173379447"/>
        <c:axId val="308386909"/>
      </c:barChart>
      <c:lineChart>
        <c:grouping val="standard"/>
        <c:varyColors val="0"/>
        <c:ser>
          <c:idx val="1"/>
          <c:order val="1"/>
          <c:tx>
            <c:strRef>
              <c:f>"增速"</c:f>
              <c:strCache>
                <c:ptCount val="1"/>
                <c:pt idx="0">
                  <c:v>增速</c:v>
                </c:pt>
              </c:strCache>
            </c:strRef>
          </c:tx>
          <c:spPr>
            <a:ln w="6350" cap="rnd">
              <a:solidFill>
                <a:schemeClr val="tx1"/>
              </a:solidFill>
              <a:round/>
            </a:ln>
            <a:effectLst/>
            <a:sp3d contourW="6350"/>
          </c:spPr>
          <c:marker>
            <c:symbol val="diamond"/>
            <c:size val="4"/>
            <c:spPr>
              <a:solidFill>
                <a:schemeClr val="tx1"/>
              </a:solidFill>
              <a:ln w="12700" cmpd="sng">
                <a:solidFill>
                  <a:schemeClr val="tx1"/>
                </a:solidFill>
                <a:prstDash val="solid"/>
              </a:ln>
              <a:effectLst/>
            </c:spPr>
          </c:marker>
          <c:dLbls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5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b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val>
            <c:numRef>
              <c:f>[工作簿1.xlsx]Sheet3!$C$2:$C$6</c:f>
              <c:numCache>
                <c:formatCode>General</c:formatCode>
                <c:ptCount val="5"/>
                <c:pt idx="0">
                  <c:v>11.6</c:v>
                </c:pt>
                <c:pt idx="1">
                  <c:v>9.7</c:v>
                </c:pt>
                <c:pt idx="2">
                  <c:v>-0.4</c:v>
                </c:pt>
                <c:pt idx="3">
                  <c:v>9.5</c:v>
                </c:pt>
                <c:pt idx="4">
                  <c:v>1.4</c:v>
                </c:pt>
              </c:numCache>
            </c:numRef>
          </c:val>
          <c:smooth val="0"/>
        </c:ser>
        <c:dLbls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343930803"/>
        <c:axId val="632968100"/>
      </c:lineChart>
      <c:catAx>
        <c:axId val="173379447"/>
        <c:scaling>
          <c:orientation val="minMax"/>
        </c:scaling>
        <c:delete val="0"/>
        <c:axPos val="b"/>
        <c:majorTickMark val="in"/>
        <c:minorTickMark val="none"/>
        <c:tickLblPos val="nextTo"/>
        <c:spPr>
          <a:noFill/>
          <a:ln w="6350" cap="flat" cmpd="sng" algn="ctr">
            <a:solidFill>
              <a:schemeClr val="tx1"/>
            </a:solidFill>
            <a:round/>
          </a:ln>
          <a:effectLst/>
        </c:spPr>
        <c:txPr>
          <a:bodyPr rot="-60000000" spcFirstLastPara="0" vertOverflow="ellipsis" vert="horz" wrap="square" anchor="ctr" anchorCtr="1"/>
          <a:lstStyle/>
          <a:p>
            <a:pPr>
              <a:defRPr lang="zh-CN" sz="105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</a:p>
        </c:txPr>
        <c:crossAx val="308386909"/>
        <c:crosses val="autoZero"/>
        <c:auto val="1"/>
        <c:lblAlgn val="ctr"/>
        <c:lblOffset val="100"/>
        <c:noMultiLvlLbl val="0"/>
      </c:catAx>
      <c:valAx>
        <c:axId val="308386909"/>
        <c:scaling>
          <c:orientation val="minMax"/>
        </c:scaling>
        <c:delete val="0"/>
        <c:axPos val="l"/>
        <c:title>
          <c:tx>
            <c:rich>
              <a:bodyPr rot="0" spcFirstLastPara="0" vertOverflow="ellipsis" vert="horz" wrap="square" anchor="ctr" anchorCtr="1"/>
              <a:lstStyle/>
              <a:p>
                <a:pPr defTabSz="914400">
                  <a:defRPr lang="zh-CN" sz="105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sz="1050"/>
                  <a:t>万元</a:t>
                </a:r>
                <a:endParaRPr sz="1050"/>
              </a:p>
            </c:rich>
          </c:tx>
          <c:layout>
            <c:manualLayout>
              <c:xMode val="edge"/>
              <c:yMode val="edge"/>
              <c:x val="0.0253728360846689"/>
              <c:y val="0.202411637525851"/>
            </c:manualLayout>
          </c:layout>
          <c:overlay val="0"/>
          <c:spPr>
            <a:noFill/>
            <a:ln>
              <a:noFill/>
            </a:ln>
            <a:effectLst/>
          </c:spPr>
        </c:title>
        <c:numFmt formatCode="General" sourceLinked="1"/>
        <c:majorTickMark val="in"/>
        <c:minorTickMark val="none"/>
        <c:tickLblPos val="nextTo"/>
        <c:spPr>
          <a:noFill/>
          <a:ln w="6350" cmpd="sng">
            <a:solidFill>
              <a:schemeClr val="tx1"/>
            </a:solidFill>
            <a:prstDash val="solid"/>
          </a:ln>
          <a:effectLst/>
        </c:spPr>
        <c:txPr>
          <a:bodyPr rot="-60000000" spcFirstLastPara="0" vertOverflow="ellipsis" vert="horz" wrap="square" anchor="ctr" anchorCtr="1"/>
          <a:lstStyle/>
          <a:p>
            <a:pPr>
              <a:defRPr lang="zh-CN" sz="105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</a:p>
        </c:txPr>
        <c:crossAx val="173379447"/>
        <c:crosses val="autoZero"/>
        <c:crossBetween val="between"/>
        <c:majorUnit val="200000"/>
      </c:valAx>
      <c:catAx>
        <c:axId val="343930803"/>
        <c:scaling>
          <c:orientation val="minMax"/>
        </c:scaling>
        <c:delete val="1"/>
        <c:axPos val="b"/>
        <c:majorTickMark val="out"/>
        <c:minorTickMark val="none"/>
        <c:tickLblPos val="nextTo"/>
        <c:txPr>
          <a:bodyPr rot="-60000000" spcFirstLastPara="0" vertOverflow="ellipsis" vert="horz" wrap="square" anchor="ctr" anchorCtr="1"/>
          <a:lstStyle/>
          <a:p>
            <a:pPr>
              <a:defRPr lang="zh-CN" sz="105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</a:p>
        </c:txPr>
        <c:crossAx val="632968100"/>
        <c:crosses val="autoZero"/>
        <c:auto val="1"/>
        <c:lblAlgn val="ctr"/>
        <c:lblOffset val="100"/>
        <c:noMultiLvlLbl val="0"/>
      </c:catAx>
      <c:valAx>
        <c:axId val="632968100"/>
        <c:scaling>
          <c:orientation val="minMax"/>
        </c:scaling>
        <c:delete val="0"/>
        <c:axPos val="r"/>
        <c:title>
          <c:tx>
            <c:rich>
              <a:bodyPr rot="0" spcFirstLastPara="0" vertOverflow="ellipsis" vert="horz" wrap="square" anchor="ctr" anchorCtr="1"/>
              <a:lstStyle/>
              <a:p>
                <a:pPr defTabSz="914400">
                  <a:defRPr lang="zh-CN" sz="105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en-US" altLang="zh-CN" sz="1050"/>
                  <a:t>%</a:t>
                </a:r>
                <a:endParaRPr lang="en-US" altLang="zh-CN" sz="1050"/>
              </a:p>
            </c:rich>
          </c:tx>
          <c:layout>
            <c:manualLayout>
              <c:xMode val="edge"/>
              <c:yMode val="edge"/>
              <c:x val="0.964453900068282"/>
              <c:y val="0.209179827035157"/>
            </c:manualLayout>
          </c:layout>
          <c:overlay val="0"/>
          <c:spPr>
            <a:noFill/>
            <a:ln>
              <a:noFill/>
            </a:ln>
            <a:effectLst/>
          </c:spPr>
        </c:title>
        <c:numFmt formatCode="General" sourceLinked="1"/>
        <c:majorTickMark val="in"/>
        <c:minorTickMark val="none"/>
        <c:tickLblPos val="nextTo"/>
        <c:spPr>
          <a:noFill/>
          <a:ln>
            <a:solidFill>
              <a:schemeClr val="tx1"/>
            </a:solidFill>
          </a:ln>
          <a:effectLst/>
        </c:spPr>
        <c:txPr>
          <a:bodyPr rot="-60000000" spcFirstLastPara="0" vertOverflow="ellipsis" vert="horz" wrap="square" anchor="ctr" anchorCtr="1"/>
          <a:lstStyle/>
          <a:p>
            <a:pPr>
              <a:defRPr lang="zh-CN" sz="105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</a:p>
        </c:txPr>
        <c:crossAx val="343930803"/>
        <c:crosses val="max"/>
        <c:crossBetween val="between"/>
        <c:majorUnit val="4"/>
      </c:valAx>
      <c:spPr>
        <a:noFill/>
        <a:ln>
          <a:noFill/>
        </a:ln>
        <a:effectLst/>
      </c:spPr>
    </c:plotArea>
    <c:legend>
      <c:legendPos val="b"/>
      <c:legendEntry>
        <c:idx val="0"/>
        <c:txPr>
          <a:bodyPr rot="0" spcFirstLastPara="0" vertOverflow="ellipsis" vert="horz" wrap="square" anchor="ctr" anchorCtr="1"/>
          <a:lstStyle/>
          <a:p>
            <a:pPr>
              <a:defRPr lang="zh-CN" sz="105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</a:p>
        </c:txPr>
      </c:legendEntry>
      <c:legendEntry>
        <c:idx val="1"/>
        <c:txPr>
          <a:bodyPr rot="0" spcFirstLastPara="0" vertOverflow="ellipsis" vert="horz" wrap="square" anchor="ctr" anchorCtr="1"/>
          <a:lstStyle/>
          <a:p>
            <a:pPr>
              <a:defRPr lang="zh-CN" sz="105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</a:p>
        </c:txPr>
      </c:legendEntry>
      <c:layout>
        <c:manualLayout>
          <c:xMode val="edge"/>
          <c:yMode val="edge"/>
          <c:x val="0.608025063260634"/>
          <c:y val="0.144670050761421"/>
          <c:w val="0.321002530425352"/>
          <c:h val="0.0797377326565144"/>
        </c:manualLayout>
      </c:layout>
      <c:overlay val="0"/>
      <c:spPr>
        <a:noFill/>
        <a:ln>
          <a:noFill/>
        </a:ln>
        <a:effectLst/>
      </c:spPr>
      <c:txPr>
        <a:bodyPr rot="0" spcFirstLastPara="0" vertOverflow="ellipsis" vert="horz" wrap="square" anchor="ctr" anchorCtr="1"/>
        <a:lstStyle/>
        <a:p>
          <a:pPr>
            <a:defRPr lang="zh-CN" sz="105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spPr>
    <a:noFill/>
    <a:ln w="9525" cap="flat" cmpd="sng" algn="ctr">
      <a:noFill/>
      <a:round/>
    </a:ln>
    <a:effectLst/>
  </c:spPr>
  <c:txPr>
    <a:bodyPr/>
    <a:lstStyle/>
    <a:p>
      <a:pPr>
        <a:defRPr lang="zh-CN" sz="1050"/>
      </a:pPr>
    </a:p>
  </c:txPr>
  <c:externalData r:id="rId1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322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2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solidFill>
        <a:schemeClr val="phClr"/>
      </a:solidFill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322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322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8</Pages>
  <Words>2213</Words>
  <Characters>2896</Characters>
  <Lines>0</Lines>
  <Paragraphs>0</Paragraphs>
  <TotalTime>36</TotalTime>
  <ScaleCrop>false</ScaleCrop>
  <LinksUpToDate>false</LinksUpToDate>
  <CharactersWithSpaces>2903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2022-03-08T01:34:00Z</dcterms:created>
  <dc:creator>Administrator</dc:creator>
  <cp:lastModifiedBy>Administratorgy0312</cp:lastModifiedBy>
  <cp:lastPrinted>2023-05-04T02:58:00Z</cp:lastPrinted>
  <dcterms:modified xsi:type="dcterms:W3CDTF">2023-09-21T08:33:12Z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  <property fmtid="{D5CDD505-2E9C-101B-9397-08002B2CF9AE}" pid="3" name="ICV">
    <vt:lpwstr>A7A6DD49B2794C4BB319EE3F4A164584_13</vt:lpwstr>
  </property>
</Properties>
</file>