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26</w:t>
      </w:r>
      <w:r>
        <w:fldChar w:fldCharType="end"/>
      </w:r>
      <w:r>
        <w:fldChar w:fldCharType="end"/>
      </w:r>
    </w:p>
    <w:p>
      <w:pPr>
        <w:rPr>
          <w:rFonts w:hint="eastAsia" w:eastAsia="宋体"/>
          <w:lang w:eastAsia="zh-CN"/>
        </w:r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4" w:type="default"/>
          <w:footerReference r:id="rId5"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9"/>
            </w:pPr>
            <w:r>
              <w:t>204高阳县信访局</w:t>
            </w:r>
          </w:p>
        </w:tc>
        <w:tc>
          <w:tcPr>
            <w:tcW w:w="1971" w:type="dxa"/>
            <w:tcBorders>
              <w:top w:val="single" w:color="FFFFFF" w:sz="6" w:space="0"/>
              <w:left w:val="single" w:color="FFFFFF" w:sz="6" w:space="0"/>
              <w:right w:val="single" w:color="FFFFFF" w:sz="6" w:space="0"/>
            </w:tcBorders>
            <w:vAlign w:val="center"/>
          </w:tcPr>
          <w:p>
            <w:pPr>
              <w:pStyle w:val="8"/>
            </w:pPr>
            <w:r>
              <w:t>预算年度：2023</w:t>
            </w:r>
          </w:p>
        </w:tc>
        <w:tc>
          <w:tcPr>
            <w:tcW w:w="394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971" w:type="dxa"/>
            <w:vMerge w:val="restart"/>
            <w:vAlign w:val="center"/>
          </w:tcPr>
          <w:p>
            <w:pPr>
              <w:pStyle w:val="10"/>
            </w:pPr>
            <w:r>
              <w:t>序号</w:t>
            </w:r>
          </w:p>
        </w:tc>
        <w:tc>
          <w:tcPr>
            <w:tcW w:w="3942" w:type="dxa"/>
            <w:gridSpan w:val="2"/>
            <w:vAlign w:val="center"/>
          </w:tcPr>
          <w:p>
            <w:pPr>
              <w:pStyle w:val="10"/>
            </w:pPr>
            <w:r>
              <w:t>收入</w:t>
            </w:r>
          </w:p>
        </w:tc>
        <w:tc>
          <w:tcPr>
            <w:tcW w:w="3942" w:type="dxa"/>
            <w:gridSpan w:val="2"/>
            <w:vAlign w:val="center"/>
          </w:tcPr>
          <w:p>
            <w:pPr>
              <w:pStyle w:val="10"/>
            </w:pPr>
            <w:r>
              <w:t>支出</w:t>
            </w:r>
          </w:p>
        </w:tc>
      </w:tr>
      <w:tr>
        <w:trPr>
          <w:trHeight w:val="369" w:hRule="atLeast"/>
          <w:tblHeader/>
          <w:jc w:val="center"/>
        </w:trPr>
        <w:tc>
          <w:tcPr>
            <w:tcW w:w="1971" w:type="dxa"/>
            <w:vMerge w:val="continue"/>
            <w:vAlign w:val="top"/>
          </w:tcPr>
          <w:p/>
        </w:tc>
        <w:tc>
          <w:tcPr>
            <w:tcW w:w="1971" w:type="dxa"/>
            <w:vAlign w:val="center"/>
          </w:tcPr>
          <w:p>
            <w:pPr>
              <w:pStyle w:val="10"/>
            </w:pPr>
            <w:r>
              <w:t>项  目</w:t>
            </w:r>
          </w:p>
        </w:tc>
        <w:tc>
          <w:tcPr>
            <w:tcW w:w="1971" w:type="dxa"/>
            <w:vAlign w:val="center"/>
          </w:tcPr>
          <w:p>
            <w:pPr>
              <w:pStyle w:val="10"/>
            </w:pPr>
            <w:r>
              <w:t>预算数</w:t>
            </w:r>
          </w:p>
        </w:tc>
        <w:tc>
          <w:tcPr>
            <w:tcW w:w="1971" w:type="dxa"/>
            <w:vAlign w:val="center"/>
          </w:tcPr>
          <w:p>
            <w:pPr>
              <w:pStyle w:val="10"/>
            </w:pPr>
            <w:r>
              <w:t>项  目</w:t>
            </w:r>
          </w:p>
        </w:tc>
        <w:tc>
          <w:tcPr>
            <w:tcW w:w="1971" w:type="dxa"/>
            <w:vAlign w:val="center"/>
          </w:tcPr>
          <w:p>
            <w:pPr>
              <w:pStyle w:val="10"/>
            </w:pPr>
            <w:r>
              <w:t>预算数</w:t>
            </w:r>
          </w:p>
        </w:tc>
      </w:tr>
      <w:tr>
        <w:trPr>
          <w:trHeight w:val="369" w:hRule="atLeast"/>
          <w:tblHeader/>
          <w:jc w:val="center"/>
        </w:trPr>
        <w:tc>
          <w:tcPr>
            <w:tcW w:w="1971" w:type="dxa"/>
            <w:vAlign w:val="center"/>
          </w:tcPr>
          <w:p>
            <w:pPr>
              <w:pStyle w:val="10"/>
            </w:pPr>
            <w:r>
              <w:t>栏次</w:t>
            </w:r>
          </w:p>
        </w:tc>
        <w:tc>
          <w:tcPr>
            <w:tcW w:w="1971" w:type="dxa"/>
            <w:vAlign w:val="center"/>
          </w:tcPr>
          <w:p>
            <w:pPr>
              <w:pStyle w:val="10"/>
            </w:pPr>
            <w:r>
              <w:t>1</w:t>
            </w:r>
          </w:p>
        </w:tc>
        <w:tc>
          <w:tcPr>
            <w:tcW w:w="1971" w:type="dxa"/>
            <w:vAlign w:val="center"/>
          </w:tcPr>
          <w:p>
            <w:pPr>
              <w:pStyle w:val="10"/>
            </w:pPr>
            <w:r>
              <w:t>2</w:t>
            </w:r>
          </w:p>
        </w:tc>
        <w:tc>
          <w:tcPr>
            <w:tcW w:w="1971" w:type="dxa"/>
            <w:vAlign w:val="center"/>
          </w:tcPr>
          <w:p>
            <w:pPr>
              <w:pStyle w:val="10"/>
            </w:pPr>
            <w:r>
              <w:t>3</w:t>
            </w:r>
          </w:p>
        </w:tc>
        <w:tc>
          <w:tcPr>
            <w:tcW w:w="1971" w:type="dxa"/>
            <w:vAlign w:val="center"/>
          </w:tcPr>
          <w:p>
            <w:pPr>
              <w:pStyle w:val="10"/>
            </w:pPr>
            <w:r>
              <w:t>4</w:t>
            </w:r>
          </w:p>
        </w:tc>
      </w:tr>
      <w:tr>
        <w:trPr>
          <w:trHeight w:val="369" w:hRule="atLeast"/>
          <w:jc w:val="center"/>
        </w:trPr>
        <w:tc>
          <w:tcPr>
            <w:tcW w:w="1971" w:type="dxa"/>
            <w:vAlign w:val="center"/>
          </w:tcPr>
          <w:p>
            <w:pPr>
              <w:pStyle w:val="13"/>
            </w:pPr>
            <w:r>
              <w:t>1</w:t>
            </w:r>
          </w:p>
        </w:tc>
        <w:tc>
          <w:tcPr>
            <w:tcW w:w="1971" w:type="dxa"/>
            <w:vAlign w:val="center"/>
          </w:tcPr>
          <w:p>
            <w:pPr>
              <w:pStyle w:val="12"/>
            </w:pPr>
            <w:r>
              <w:t>一、一般公共预算拨款收入</w:t>
            </w:r>
          </w:p>
        </w:tc>
        <w:tc>
          <w:tcPr>
            <w:tcW w:w="1971" w:type="dxa"/>
            <w:vAlign w:val="center"/>
          </w:tcPr>
          <w:p>
            <w:pPr>
              <w:pStyle w:val="11"/>
            </w:pPr>
            <w:r>
              <w:t>474.14</w:t>
            </w:r>
          </w:p>
        </w:tc>
        <w:tc>
          <w:tcPr>
            <w:tcW w:w="1971" w:type="dxa"/>
            <w:vAlign w:val="center"/>
          </w:tcPr>
          <w:p>
            <w:pPr>
              <w:pStyle w:val="12"/>
            </w:pPr>
            <w:r>
              <w:t>一、一般公共服务支出</w:t>
            </w:r>
          </w:p>
        </w:tc>
        <w:tc>
          <w:tcPr>
            <w:tcW w:w="1971" w:type="dxa"/>
            <w:vAlign w:val="center"/>
          </w:tcPr>
          <w:p>
            <w:pPr>
              <w:pStyle w:val="11"/>
            </w:pPr>
            <w:r>
              <w:t>460.04</w:t>
            </w:r>
          </w:p>
        </w:tc>
      </w:tr>
      <w:tr>
        <w:trPr>
          <w:trHeight w:val="369" w:hRule="atLeast"/>
          <w:jc w:val="center"/>
        </w:trPr>
        <w:tc>
          <w:tcPr>
            <w:tcW w:w="1971" w:type="dxa"/>
            <w:vAlign w:val="center"/>
          </w:tcPr>
          <w:p>
            <w:pPr>
              <w:pStyle w:val="13"/>
            </w:pPr>
            <w:r>
              <w:t>2</w:t>
            </w:r>
          </w:p>
        </w:tc>
        <w:tc>
          <w:tcPr>
            <w:tcW w:w="1971" w:type="dxa"/>
            <w:vAlign w:val="center"/>
          </w:tcPr>
          <w:p>
            <w:pPr>
              <w:pStyle w:val="12"/>
            </w:pPr>
            <w:r>
              <w:t>二、政府性基金预算拨款收入</w:t>
            </w:r>
          </w:p>
        </w:tc>
        <w:tc>
          <w:tcPr>
            <w:tcW w:w="1971" w:type="dxa"/>
            <w:vAlign w:val="center"/>
          </w:tcPr>
          <w:p>
            <w:pPr>
              <w:pStyle w:val="11"/>
            </w:pPr>
          </w:p>
        </w:tc>
        <w:tc>
          <w:tcPr>
            <w:tcW w:w="1971" w:type="dxa"/>
            <w:vAlign w:val="center"/>
          </w:tcPr>
          <w:p>
            <w:pPr>
              <w:pStyle w:val="12"/>
            </w:pPr>
            <w:r>
              <w:t>二、外交支出</w:t>
            </w:r>
          </w:p>
        </w:tc>
        <w:tc>
          <w:tcPr>
            <w:tcW w:w="1971" w:type="dxa"/>
            <w:vAlign w:val="center"/>
          </w:tcPr>
          <w:p>
            <w:pPr>
              <w:pStyle w:val="11"/>
            </w:pPr>
          </w:p>
        </w:tc>
      </w:tr>
      <w:tr>
        <w:trPr>
          <w:trHeight w:val="369" w:hRule="atLeast"/>
          <w:jc w:val="center"/>
        </w:trPr>
        <w:tc>
          <w:tcPr>
            <w:tcW w:w="1971" w:type="dxa"/>
            <w:vAlign w:val="center"/>
          </w:tcPr>
          <w:p>
            <w:pPr>
              <w:pStyle w:val="13"/>
            </w:pPr>
            <w:r>
              <w:t>3</w:t>
            </w:r>
          </w:p>
        </w:tc>
        <w:tc>
          <w:tcPr>
            <w:tcW w:w="1971" w:type="dxa"/>
            <w:vAlign w:val="center"/>
          </w:tcPr>
          <w:p>
            <w:pPr>
              <w:pStyle w:val="12"/>
            </w:pPr>
            <w:r>
              <w:t>三、国有资本经营预算拨款收入</w:t>
            </w:r>
          </w:p>
        </w:tc>
        <w:tc>
          <w:tcPr>
            <w:tcW w:w="1971" w:type="dxa"/>
            <w:vAlign w:val="center"/>
          </w:tcPr>
          <w:p>
            <w:pPr>
              <w:pStyle w:val="11"/>
            </w:pPr>
          </w:p>
        </w:tc>
        <w:tc>
          <w:tcPr>
            <w:tcW w:w="1971" w:type="dxa"/>
            <w:vAlign w:val="center"/>
          </w:tcPr>
          <w:p>
            <w:pPr>
              <w:pStyle w:val="12"/>
            </w:pPr>
            <w:r>
              <w:t>三、国防支出</w:t>
            </w:r>
          </w:p>
        </w:tc>
        <w:tc>
          <w:tcPr>
            <w:tcW w:w="1971" w:type="dxa"/>
            <w:vAlign w:val="center"/>
          </w:tcPr>
          <w:p>
            <w:pPr>
              <w:pStyle w:val="11"/>
            </w:pPr>
          </w:p>
        </w:tc>
      </w:tr>
      <w:tr>
        <w:trPr>
          <w:trHeight w:val="369" w:hRule="atLeast"/>
          <w:jc w:val="center"/>
        </w:trPr>
        <w:tc>
          <w:tcPr>
            <w:tcW w:w="1971" w:type="dxa"/>
            <w:vAlign w:val="center"/>
          </w:tcPr>
          <w:p>
            <w:pPr>
              <w:pStyle w:val="13"/>
            </w:pPr>
            <w:r>
              <w:t>4</w:t>
            </w:r>
          </w:p>
        </w:tc>
        <w:tc>
          <w:tcPr>
            <w:tcW w:w="1971" w:type="dxa"/>
            <w:vAlign w:val="center"/>
          </w:tcPr>
          <w:p>
            <w:pPr>
              <w:pStyle w:val="12"/>
            </w:pPr>
            <w:r>
              <w:t>四、财政专户管理资金收入</w:t>
            </w:r>
          </w:p>
        </w:tc>
        <w:tc>
          <w:tcPr>
            <w:tcW w:w="1971" w:type="dxa"/>
            <w:vAlign w:val="center"/>
          </w:tcPr>
          <w:p>
            <w:pPr>
              <w:pStyle w:val="11"/>
            </w:pPr>
          </w:p>
        </w:tc>
        <w:tc>
          <w:tcPr>
            <w:tcW w:w="1971" w:type="dxa"/>
            <w:vAlign w:val="center"/>
          </w:tcPr>
          <w:p>
            <w:pPr>
              <w:pStyle w:val="12"/>
            </w:pPr>
            <w:r>
              <w:t>四、公共安全支出</w:t>
            </w:r>
          </w:p>
        </w:tc>
        <w:tc>
          <w:tcPr>
            <w:tcW w:w="1971" w:type="dxa"/>
            <w:vAlign w:val="center"/>
          </w:tcPr>
          <w:p>
            <w:pPr>
              <w:pStyle w:val="11"/>
            </w:pPr>
          </w:p>
        </w:tc>
      </w:tr>
      <w:tr>
        <w:trPr>
          <w:trHeight w:val="369" w:hRule="atLeast"/>
          <w:jc w:val="center"/>
        </w:trPr>
        <w:tc>
          <w:tcPr>
            <w:tcW w:w="1971" w:type="dxa"/>
            <w:vAlign w:val="center"/>
          </w:tcPr>
          <w:p>
            <w:pPr>
              <w:pStyle w:val="13"/>
            </w:pPr>
            <w:r>
              <w:t>5</w:t>
            </w:r>
          </w:p>
        </w:tc>
        <w:tc>
          <w:tcPr>
            <w:tcW w:w="1971" w:type="dxa"/>
            <w:vAlign w:val="center"/>
          </w:tcPr>
          <w:p>
            <w:pPr>
              <w:pStyle w:val="12"/>
            </w:pPr>
            <w:r>
              <w:t>五、事业收入</w:t>
            </w:r>
          </w:p>
        </w:tc>
        <w:tc>
          <w:tcPr>
            <w:tcW w:w="1971" w:type="dxa"/>
            <w:vAlign w:val="center"/>
          </w:tcPr>
          <w:p>
            <w:pPr>
              <w:pStyle w:val="11"/>
            </w:pPr>
          </w:p>
        </w:tc>
        <w:tc>
          <w:tcPr>
            <w:tcW w:w="1971" w:type="dxa"/>
            <w:vAlign w:val="center"/>
          </w:tcPr>
          <w:p>
            <w:pPr>
              <w:pStyle w:val="12"/>
            </w:pPr>
            <w:r>
              <w:t>五、教育支出</w:t>
            </w:r>
          </w:p>
        </w:tc>
        <w:tc>
          <w:tcPr>
            <w:tcW w:w="1971" w:type="dxa"/>
            <w:vAlign w:val="center"/>
          </w:tcPr>
          <w:p>
            <w:pPr>
              <w:pStyle w:val="11"/>
            </w:pPr>
          </w:p>
        </w:tc>
      </w:tr>
      <w:tr>
        <w:trPr>
          <w:trHeight w:val="369" w:hRule="atLeast"/>
          <w:jc w:val="center"/>
        </w:trPr>
        <w:tc>
          <w:tcPr>
            <w:tcW w:w="1971" w:type="dxa"/>
            <w:vAlign w:val="center"/>
          </w:tcPr>
          <w:p>
            <w:pPr>
              <w:pStyle w:val="13"/>
            </w:pPr>
            <w:r>
              <w:t>6</w:t>
            </w:r>
          </w:p>
        </w:tc>
        <w:tc>
          <w:tcPr>
            <w:tcW w:w="1971" w:type="dxa"/>
            <w:vAlign w:val="center"/>
          </w:tcPr>
          <w:p>
            <w:pPr>
              <w:pStyle w:val="12"/>
            </w:pPr>
            <w:r>
              <w:t>六、事业单位经营收入</w:t>
            </w:r>
          </w:p>
        </w:tc>
        <w:tc>
          <w:tcPr>
            <w:tcW w:w="1971" w:type="dxa"/>
            <w:vAlign w:val="center"/>
          </w:tcPr>
          <w:p>
            <w:pPr>
              <w:pStyle w:val="11"/>
            </w:pPr>
          </w:p>
        </w:tc>
        <w:tc>
          <w:tcPr>
            <w:tcW w:w="1971" w:type="dxa"/>
            <w:vAlign w:val="center"/>
          </w:tcPr>
          <w:p>
            <w:pPr>
              <w:pStyle w:val="12"/>
            </w:pPr>
            <w:r>
              <w:t>六、科学技术支出</w:t>
            </w:r>
          </w:p>
        </w:tc>
        <w:tc>
          <w:tcPr>
            <w:tcW w:w="1971" w:type="dxa"/>
            <w:vAlign w:val="center"/>
          </w:tcPr>
          <w:p>
            <w:pPr>
              <w:pStyle w:val="11"/>
            </w:pPr>
          </w:p>
        </w:tc>
      </w:tr>
      <w:tr>
        <w:trPr>
          <w:trHeight w:val="369" w:hRule="atLeast"/>
          <w:jc w:val="center"/>
        </w:trPr>
        <w:tc>
          <w:tcPr>
            <w:tcW w:w="1971" w:type="dxa"/>
            <w:vAlign w:val="center"/>
          </w:tcPr>
          <w:p>
            <w:pPr>
              <w:pStyle w:val="13"/>
            </w:pPr>
            <w:r>
              <w:t>7</w:t>
            </w:r>
          </w:p>
        </w:tc>
        <w:tc>
          <w:tcPr>
            <w:tcW w:w="1971" w:type="dxa"/>
            <w:vAlign w:val="center"/>
          </w:tcPr>
          <w:p>
            <w:pPr>
              <w:pStyle w:val="12"/>
            </w:pPr>
            <w:r>
              <w:t>七、上级补助收入</w:t>
            </w:r>
          </w:p>
        </w:tc>
        <w:tc>
          <w:tcPr>
            <w:tcW w:w="1971" w:type="dxa"/>
            <w:vAlign w:val="center"/>
          </w:tcPr>
          <w:p>
            <w:pPr>
              <w:pStyle w:val="11"/>
            </w:pPr>
          </w:p>
        </w:tc>
        <w:tc>
          <w:tcPr>
            <w:tcW w:w="1971" w:type="dxa"/>
            <w:vAlign w:val="center"/>
          </w:tcPr>
          <w:p>
            <w:pPr>
              <w:pStyle w:val="12"/>
            </w:pPr>
            <w:r>
              <w:t>七、文化旅游体育与传媒支出</w:t>
            </w:r>
          </w:p>
        </w:tc>
        <w:tc>
          <w:tcPr>
            <w:tcW w:w="1971" w:type="dxa"/>
            <w:vAlign w:val="center"/>
          </w:tcPr>
          <w:p>
            <w:pPr>
              <w:pStyle w:val="11"/>
            </w:pPr>
          </w:p>
        </w:tc>
      </w:tr>
      <w:tr>
        <w:trPr>
          <w:trHeight w:val="369" w:hRule="atLeast"/>
          <w:jc w:val="center"/>
        </w:trPr>
        <w:tc>
          <w:tcPr>
            <w:tcW w:w="1971" w:type="dxa"/>
            <w:vAlign w:val="center"/>
          </w:tcPr>
          <w:p>
            <w:pPr>
              <w:pStyle w:val="13"/>
            </w:pPr>
            <w:r>
              <w:t>8</w:t>
            </w:r>
          </w:p>
        </w:tc>
        <w:tc>
          <w:tcPr>
            <w:tcW w:w="1971" w:type="dxa"/>
            <w:vAlign w:val="center"/>
          </w:tcPr>
          <w:p>
            <w:pPr>
              <w:pStyle w:val="12"/>
            </w:pPr>
            <w:r>
              <w:t>八、附属单位上缴收入</w:t>
            </w:r>
          </w:p>
        </w:tc>
        <w:tc>
          <w:tcPr>
            <w:tcW w:w="1971" w:type="dxa"/>
            <w:vAlign w:val="center"/>
          </w:tcPr>
          <w:p>
            <w:pPr>
              <w:pStyle w:val="11"/>
            </w:pPr>
          </w:p>
        </w:tc>
        <w:tc>
          <w:tcPr>
            <w:tcW w:w="1971" w:type="dxa"/>
            <w:vAlign w:val="center"/>
          </w:tcPr>
          <w:p>
            <w:pPr>
              <w:pStyle w:val="12"/>
            </w:pPr>
            <w:r>
              <w:t>八、社会保障和就业支出</w:t>
            </w:r>
          </w:p>
        </w:tc>
        <w:tc>
          <w:tcPr>
            <w:tcW w:w="1971" w:type="dxa"/>
            <w:vAlign w:val="center"/>
          </w:tcPr>
          <w:p>
            <w:pPr>
              <w:pStyle w:val="11"/>
            </w:pPr>
            <w:r>
              <w:t>6.71</w:t>
            </w:r>
          </w:p>
        </w:tc>
      </w:tr>
      <w:tr>
        <w:trPr>
          <w:trHeight w:val="369" w:hRule="atLeast"/>
          <w:jc w:val="center"/>
        </w:trPr>
        <w:tc>
          <w:tcPr>
            <w:tcW w:w="1971" w:type="dxa"/>
            <w:vAlign w:val="center"/>
          </w:tcPr>
          <w:p>
            <w:pPr>
              <w:pStyle w:val="13"/>
            </w:pPr>
            <w:r>
              <w:t>9</w:t>
            </w:r>
          </w:p>
        </w:tc>
        <w:tc>
          <w:tcPr>
            <w:tcW w:w="1971" w:type="dxa"/>
            <w:vAlign w:val="center"/>
          </w:tcPr>
          <w:p>
            <w:pPr>
              <w:pStyle w:val="12"/>
            </w:pPr>
            <w:r>
              <w:t>九、其他收入</w:t>
            </w:r>
          </w:p>
        </w:tc>
        <w:tc>
          <w:tcPr>
            <w:tcW w:w="1971" w:type="dxa"/>
            <w:vAlign w:val="center"/>
          </w:tcPr>
          <w:p>
            <w:pPr>
              <w:pStyle w:val="11"/>
            </w:pPr>
          </w:p>
        </w:tc>
        <w:tc>
          <w:tcPr>
            <w:tcW w:w="1971" w:type="dxa"/>
            <w:vAlign w:val="center"/>
          </w:tcPr>
          <w:p>
            <w:pPr>
              <w:pStyle w:val="12"/>
            </w:pPr>
            <w:r>
              <w:t>九、社会保险基金支出</w:t>
            </w:r>
          </w:p>
        </w:tc>
        <w:tc>
          <w:tcPr>
            <w:tcW w:w="1971" w:type="dxa"/>
            <w:vAlign w:val="center"/>
          </w:tcPr>
          <w:p>
            <w:pPr>
              <w:pStyle w:val="11"/>
            </w:pPr>
          </w:p>
        </w:tc>
      </w:tr>
      <w:tr>
        <w:trPr>
          <w:trHeight w:val="369" w:hRule="atLeast"/>
          <w:jc w:val="center"/>
        </w:trPr>
        <w:tc>
          <w:tcPr>
            <w:tcW w:w="1971" w:type="dxa"/>
            <w:vAlign w:val="center"/>
          </w:tcPr>
          <w:p>
            <w:pPr>
              <w:pStyle w:val="13"/>
            </w:pPr>
            <w:r>
              <w:t>10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十、卫生健康支出</w:t>
            </w:r>
          </w:p>
        </w:tc>
        <w:tc>
          <w:tcPr>
            <w:tcW w:w="1971" w:type="dxa"/>
            <w:vAlign w:val="center"/>
          </w:tcPr>
          <w:p>
            <w:pPr>
              <w:pStyle w:val="11"/>
            </w:pPr>
            <w:r>
              <w:t>2.98</w:t>
            </w:r>
          </w:p>
        </w:tc>
      </w:tr>
      <w:tr>
        <w:trPr>
          <w:trHeight w:val="369" w:hRule="atLeast"/>
          <w:jc w:val="center"/>
        </w:trPr>
        <w:tc>
          <w:tcPr>
            <w:tcW w:w="1971" w:type="dxa"/>
            <w:vAlign w:val="center"/>
          </w:tcPr>
          <w:p>
            <w:pPr>
              <w:pStyle w:val="13"/>
            </w:pPr>
            <w:r>
              <w:t>11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十一、节能环保支出</w:t>
            </w:r>
          </w:p>
        </w:tc>
        <w:tc>
          <w:tcPr>
            <w:tcW w:w="1971" w:type="dxa"/>
            <w:vAlign w:val="center"/>
          </w:tcPr>
          <w:p>
            <w:pPr>
              <w:pStyle w:val="11"/>
            </w:pPr>
          </w:p>
        </w:tc>
      </w:tr>
      <w:tr>
        <w:trPr>
          <w:trHeight w:val="369" w:hRule="atLeast"/>
          <w:jc w:val="center"/>
        </w:trPr>
        <w:tc>
          <w:tcPr>
            <w:tcW w:w="1971" w:type="dxa"/>
            <w:vAlign w:val="center"/>
          </w:tcPr>
          <w:p>
            <w:pPr>
              <w:pStyle w:val="13"/>
            </w:pPr>
            <w:r>
              <w:t>12</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十二、城乡社区支出</w:t>
            </w:r>
          </w:p>
        </w:tc>
        <w:tc>
          <w:tcPr>
            <w:tcW w:w="1971" w:type="dxa"/>
            <w:vAlign w:val="center"/>
          </w:tcPr>
          <w:p>
            <w:pPr>
              <w:pStyle w:val="11"/>
            </w:pPr>
          </w:p>
        </w:tc>
      </w:tr>
      <w:tr>
        <w:trPr>
          <w:trHeight w:val="369" w:hRule="atLeast"/>
          <w:jc w:val="center"/>
        </w:trPr>
        <w:tc>
          <w:tcPr>
            <w:tcW w:w="1971" w:type="dxa"/>
            <w:vAlign w:val="center"/>
          </w:tcPr>
          <w:p>
            <w:pPr>
              <w:pStyle w:val="13"/>
            </w:pPr>
            <w:r>
              <w:t>13</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十三、农林水支出</w:t>
            </w:r>
          </w:p>
        </w:tc>
        <w:tc>
          <w:tcPr>
            <w:tcW w:w="1971" w:type="dxa"/>
            <w:vAlign w:val="center"/>
          </w:tcPr>
          <w:p>
            <w:pPr>
              <w:pStyle w:val="11"/>
            </w:pPr>
          </w:p>
        </w:tc>
      </w:tr>
      <w:tr>
        <w:trPr>
          <w:trHeight w:val="369" w:hRule="atLeast"/>
          <w:jc w:val="center"/>
        </w:trPr>
        <w:tc>
          <w:tcPr>
            <w:tcW w:w="1971" w:type="dxa"/>
            <w:vAlign w:val="center"/>
          </w:tcPr>
          <w:p>
            <w:pPr>
              <w:pStyle w:val="13"/>
            </w:pPr>
            <w:r>
              <w:t>14</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十四、交通运输支出</w:t>
            </w:r>
          </w:p>
        </w:tc>
        <w:tc>
          <w:tcPr>
            <w:tcW w:w="1971" w:type="dxa"/>
            <w:vAlign w:val="center"/>
          </w:tcPr>
          <w:p>
            <w:pPr>
              <w:pStyle w:val="11"/>
            </w:pPr>
          </w:p>
        </w:tc>
      </w:tr>
      <w:tr>
        <w:trPr>
          <w:trHeight w:val="369" w:hRule="atLeast"/>
          <w:jc w:val="center"/>
        </w:trPr>
        <w:tc>
          <w:tcPr>
            <w:tcW w:w="1971" w:type="dxa"/>
            <w:vAlign w:val="center"/>
          </w:tcPr>
          <w:p>
            <w:pPr>
              <w:pStyle w:val="13"/>
            </w:pPr>
            <w:r>
              <w:t>15</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十五、资源勘探工业信息等支出</w:t>
            </w:r>
          </w:p>
        </w:tc>
        <w:tc>
          <w:tcPr>
            <w:tcW w:w="1971" w:type="dxa"/>
            <w:vAlign w:val="center"/>
          </w:tcPr>
          <w:p>
            <w:pPr>
              <w:pStyle w:val="11"/>
            </w:pPr>
          </w:p>
        </w:tc>
      </w:tr>
      <w:tr>
        <w:trPr>
          <w:trHeight w:val="369" w:hRule="atLeast"/>
          <w:jc w:val="center"/>
        </w:trPr>
        <w:tc>
          <w:tcPr>
            <w:tcW w:w="1971" w:type="dxa"/>
            <w:vAlign w:val="center"/>
          </w:tcPr>
          <w:p>
            <w:pPr>
              <w:pStyle w:val="13"/>
            </w:pPr>
            <w:r>
              <w:t>16</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十六、商业服务业等支出</w:t>
            </w:r>
          </w:p>
        </w:tc>
        <w:tc>
          <w:tcPr>
            <w:tcW w:w="1971" w:type="dxa"/>
            <w:vAlign w:val="center"/>
          </w:tcPr>
          <w:p>
            <w:pPr>
              <w:pStyle w:val="11"/>
            </w:pPr>
          </w:p>
        </w:tc>
      </w:tr>
      <w:tr>
        <w:trPr>
          <w:trHeight w:val="369" w:hRule="atLeast"/>
          <w:jc w:val="center"/>
        </w:trPr>
        <w:tc>
          <w:tcPr>
            <w:tcW w:w="1971" w:type="dxa"/>
            <w:vAlign w:val="center"/>
          </w:tcPr>
          <w:p>
            <w:pPr>
              <w:pStyle w:val="13"/>
            </w:pPr>
            <w:r>
              <w:t>17</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十七、金融支出</w:t>
            </w:r>
          </w:p>
        </w:tc>
        <w:tc>
          <w:tcPr>
            <w:tcW w:w="1971" w:type="dxa"/>
            <w:vAlign w:val="center"/>
          </w:tcPr>
          <w:p>
            <w:pPr>
              <w:pStyle w:val="11"/>
            </w:pPr>
          </w:p>
        </w:tc>
      </w:tr>
      <w:tr>
        <w:trPr>
          <w:trHeight w:val="369" w:hRule="atLeast"/>
          <w:jc w:val="center"/>
        </w:trPr>
        <w:tc>
          <w:tcPr>
            <w:tcW w:w="1971" w:type="dxa"/>
            <w:vAlign w:val="center"/>
          </w:tcPr>
          <w:p>
            <w:pPr>
              <w:pStyle w:val="13"/>
            </w:pPr>
            <w:r>
              <w:t>18</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十八、援助其他地区支出</w:t>
            </w:r>
          </w:p>
        </w:tc>
        <w:tc>
          <w:tcPr>
            <w:tcW w:w="1971" w:type="dxa"/>
            <w:vAlign w:val="center"/>
          </w:tcPr>
          <w:p>
            <w:pPr>
              <w:pStyle w:val="11"/>
            </w:pPr>
          </w:p>
        </w:tc>
      </w:tr>
      <w:tr>
        <w:trPr>
          <w:trHeight w:val="369" w:hRule="atLeast"/>
          <w:jc w:val="center"/>
        </w:trPr>
        <w:tc>
          <w:tcPr>
            <w:tcW w:w="1971" w:type="dxa"/>
            <w:vAlign w:val="center"/>
          </w:tcPr>
          <w:p>
            <w:pPr>
              <w:pStyle w:val="13"/>
            </w:pPr>
            <w:r>
              <w:t>19</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十九、自然资源海洋气象等支出</w:t>
            </w:r>
          </w:p>
        </w:tc>
        <w:tc>
          <w:tcPr>
            <w:tcW w:w="1971" w:type="dxa"/>
            <w:vAlign w:val="center"/>
          </w:tcPr>
          <w:p>
            <w:pPr>
              <w:pStyle w:val="11"/>
            </w:pPr>
          </w:p>
        </w:tc>
      </w:tr>
      <w:tr>
        <w:trPr>
          <w:trHeight w:val="369" w:hRule="atLeast"/>
          <w:jc w:val="center"/>
        </w:trPr>
        <w:tc>
          <w:tcPr>
            <w:tcW w:w="1971" w:type="dxa"/>
            <w:vAlign w:val="center"/>
          </w:tcPr>
          <w:p>
            <w:pPr>
              <w:pStyle w:val="13"/>
            </w:pPr>
            <w:r>
              <w:t>20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二十、住房保障支出</w:t>
            </w:r>
          </w:p>
        </w:tc>
        <w:tc>
          <w:tcPr>
            <w:tcW w:w="1971" w:type="dxa"/>
            <w:vAlign w:val="center"/>
          </w:tcPr>
          <w:p>
            <w:pPr>
              <w:pStyle w:val="11"/>
            </w:pPr>
            <w:r>
              <w:t>4.41</w:t>
            </w:r>
          </w:p>
        </w:tc>
      </w:tr>
      <w:tr>
        <w:trPr>
          <w:trHeight w:val="369" w:hRule="atLeast"/>
          <w:jc w:val="center"/>
        </w:trPr>
        <w:tc>
          <w:tcPr>
            <w:tcW w:w="1971" w:type="dxa"/>
            <w:vAlign w:val="center"/>
          </w:tcPr>
          <w:p>
            <w:pPr>
              <w:pStyle w:val="13"/>
            </w:pPr>
            <w:r>
              <w:t>21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二十一、粮油物资储备支出</w:t>
            </w:r>
          </w:p>
        </w:tc>
        <w:tc>
          <w:tcPr>
            <w:tcW w:w="1971" w:type="dxa"/>
            <w:vAlign w:val="center"/>
          </w:tcPr>
          <w:p>
            <w:pPr>
              <w:pStyle w:val="11"/>
            </w:pPr>
          </w:p>
        </w:tc>
      </w:tr>
      <w:tr>
        <w:trPr>
          <w:trHeight w:val="369" w:hRule="atLeast"/>
          <w:jc w:val="center"/>
        </w:trPr>
        <w:tc>
          <w:tcPr>
            <w:tcW w:w="1971" w:type="dxa"/>
            <w:vAlign w:val="center"/>
          </w:tcPr>
          <w:p>
            <w:pPr>
              <w:pStyle w:val="13"/>
            </w:pPr>
            <w:r>
              <w:t>22</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二十二、国有资本经营预算支出</w:t>
            </w:r>
          </w:p>
        </w:tc>
        <w:tc>
          <w:tcPr>
            <w:tcW w:w="1971" w:type="dxa"/>
            <w:vAlign w:val="center"/>
          </w:tcPr>
          <w:p>
            <w:pPr>
              <w:pStyle w:val="11"/>
            </w:pPr>
          </w:p>
        </w:tc>
      </w:tr>
      <w:tr>
        <w:trPr>
          <w:trHeight w:val="369" w:hRule="atLeast"/>
          <w:jc w:val="center"/>
        </w:trPr>
        <w:tc>
          <w:tcPr>
            <w:tcW w:w="1971" w:type="dxa"/>
            <w:vAlign w:val="center"/>
          </w:tcPr>
          <w:p>
            <w:pPr>
              <w:pStyle w:val="13"/>
            </w:pPr>
            <w:r>
              <w:t>23</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二十三、灾害防治及应急管理支出</w:t>
            </w:r>
          </w:p>
        </w:tc>
        <w:tc>
          <w:tcPr>
            <w:tcW w:w="1971" w:type="dxa"/>
            <w:vAlign w:val="center"/>
          </w:tcPr>
          <w:p>
            <w:pPr>
              <w:pStyle w:val="11"/>
            </w:pPr>
          </w:p>
        </w:tc>
      </w:tr>
      <w:tr>
        <w:trPr>
          <w:trHeight w:val="369" w:hRule="atLeast"/>
          <w:jc w:val="center"/>
        </w:trPr>
        <w:tc>
          <w:tcPr>
            <w:tcW w:w="1971" w:type="dxa"/>
            <w:vAlign w:val="center"/>
          </w:tcPr>
          <w:p>
            <w:pPr>
              <w:pStyle w:val="13"/>
            </w:pPr>
            <w:r>
              <w:t>24</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二十四、预备费</w:t>
            </w:r>
          </w:p>
        </w:tc>
        <w:tc>
          <w:tcPr>
            <w:tcW w:w="1971" w:type="dxa"/>
            <w:vAlign w:val="center"/>
          </w:tcPr>
          <w:p>
            <w:pPr>
              <w:pStyle w:val="11"/>
            </w:pPr>
          </w:p>
        </w:tc>
      </w:tr>
      <w:tr>
        <w:trPr>
          <w:trHeight w:val="369" w:hRule="atLeast"/>
          <w:jc w:val="center"/>
        </w:trPr>
        <w:tc>
          <w:tcPr>
            <w:tcW w:w="1971" w:type="dxa"/>
            <w:vAlign w:val="center"/>
          </w:tcPr>
          <w:p>
            <w:pPr>
              <w:pStyle w:val="13"/>
            </w:pPr>
            <w:r>
              <w:t>25</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二十五、其他支出</w:t>
            </w:r>
          </w:p>
        </w:tc>
        <w:tc>
          <w:tcPr>
            <w:tcW w:w="1971" w:type="dxa"/>
            <w:vAlign w:val="center"/>
          </w:tcPr>
          <w:p>
            <w:pPr>
              <w:pStyle w:val="11"/>
            </w:pPr>
          </w:p>
        </w:tc>
      </w:tr>
      <w:tr>
        <w:trPr>
          <w:trHeight w:val="369" w:hRule="atLeast"/>
          <w:jc w:val="center"/>
        </w:trPr>
        <w:tc>
          <w:tcPr>
            <w:tcW w:w="1971" w:type="dxa"/>
            <w:vAlign w:val="center"/>
          </w:tcPr>
          <w:p>
            <w:pPr>
              <w:pStyle w:val="13"/>
            </w:pPr>
            <w:r>
              <w:t>26</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二十六、转移性支出</w:t>
            </w:r>
          </w:p>
        </w:tc>
        <w:tc>
          <w:tcPr>
            <w:tcW w:w="1971" w:type="dxa"/>
            <w:vAlign w:val="center"/>
          </w:tcPr>
          <w:p>
            <w:pPr>
              <w:pStyle w:val="11"/>
            </w:pPr>
          </w:p>
        </w:tc>
      </w:tr>
      <w:tr>
        <w:trPr>
          <w:trHeight w:val="369" w:hRule="atLeast"/>
          <w:jc w:val="center"/>
        </w:trPr>
        <w:tc>
          <w:tcPr>
            <w:tcW w:w="1971" w:type="dxa"/>
            <w:vAlign w:val="center"/>
          </w:tcPr>
          <w:p>
            <w:pPr>
              <w:pStyle w:val="13"/>
            </w:pPr>
            <w:r>
              <w:t>27</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二十七、债务还本支出</w:t>
            </w:r>
          </w:p>
        </w:tc>
        <w:tc>
          <w:tcPr>
            <w:tcW w:w="1971" w:type="dxa"/>
            <w:vAlign w:val="center"/>
          </w:tcPr>
          <w:p>
            <w:pPr>
              <w:pStyle w:val="11"/>
            </w:pPr>
          </w:p>
        </w:tc>
      </w:tr>
      <w:tr>
        <w:trPr>
          <w:trHeight w:val="369" w:hRule="atLeast"/>
          <w:jc w:val="center"/>
        </w:trPr>
        <w:tc>
          <w:tcPr>
            <w:tcW w:w="1971" w:type="dxa"/>
            <w:vAlign w:val="center"/>
          </w:tcPr>
          <w:p>
            <w:pPr>
              <w:pStyle w:val="13"/>
            </w:pPr>
            <w:r>
              <w:t>28</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二十八、债务付息支出</w:t>
            </w:r>
          </w:p>
        </w:tc>
        <w:tc>
          <w:tcPr>
            <w:tcW w:w="1971" w:type="dxa"/>
            <w:vAlign w:val="center"/>
          </w:tcPr>
          <w:p>
            <w:pPr>
              <w:pStyle w:val="11"/>
            </w:pPr>
          </w:p>
        </w:tc>
      </w:tr>
      <w:tr>
        <w:trPr>
          <w:trHeight w:val="369" w:hRule="atLeast"/>
          <w:jc w:val="center"/>
        </w:trPr>
        <w:tc>
          <w:tcPr>
            <w:tcW w:w="1971" w:type="dxa"/>
            <w:vAlign w:val="center"/>
          </w:tcPr>
          <w:p>
            <w:pPr>
              <w:pStyle w:val="13"/>
            </w:pPr>
            <w:r>
              <w:t>29</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二十九、债务发行费用支出</w:t>
            </w:r>
          </w:p>
        </w:tc>
        <w:tc>
          <w:tcPr>
            <w:tcW w:w="1971" w:type="dxa"/>
            <w:vAlign w:val="center"/>
          </w:tcPr>
          <w:p>
            <w:pPr>
              <w:pStyle w:val="11"/>
            </w:pPr>
          </w:p>
        </w:tc>
      </w:tr>
      <w:tr>
        <w:trPr>
          <w:trHeight w:val="369" w:hRule="atLeast"/>
          <w:jc w:val="center"/>
        </w:trPr>
        <w:tc>
          <w:tcPr>
            <w:tcW w:w="1971" w:type="dxa"/>
            <w:vAlign w:val="center"/>
          </w:tcPr>
          <w:p>
            <w:pPr>
              <w:pStyle w:val="13"/>
            </w:pPr>
            <w:r>
              <w:t>30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三十、抗疫特别国债安排的支出</w:t>
            </w:r>
          </w:p>
        </w:tc>
        <w:tc>
          <w:tcPr>
            <w:tcW w:w="1971" w:type="dxa"/>
            <w:vAlign w:val="center"/>
          </w:tcPr>
          <w:p>
            <w:pPr>
              <w:pStyle w:val="11"/>
            </w:pPr>
          </w:p>
        </w:tc>
      </w:tr>
      <w:tr>
        <w:trPr>
          <w:trHeight w:val="369" w:hRule="atLeast"/>
          <w:jc w:val="center"/>
        </w:trPr>
        <w:tc>
          <w:tcPr>
            <w:tcW w:w="1971" w:type="dxa"/>
            <w:vAlign w:val="center"/>
          </w:tcPr>
          <w:p>
            <w:pPr>
              <w:pStyle w:val="13"/>
            </w:pPr>
            <w:r>
              <w:t>31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三十一、人行科目</w:t>
            </w:r>
          </w:p>
        </w:tc>
        <w:tc>
          <w:tcPr>
            <w:tcW w:w="1971" w:type="dxa"/>
            <w:vAlign w:val="center"/>
          </w:tcPr>
          <w:p>
            <w:pPr>
              <w:pStyle w:val="11"/>
            </w:pPr>
          </w:p>
        </w:tc>
      </w:tr>
      <w:tr>
        <w:trPr>
          <w:trHeight w:val="369" w:hRule="atLeast"/>
          <w:jc w:val="center"/>
        </w:trPr>
        <w:tc>
          <w:tcPr>
            <w:tcW w:w="1971" w:type="dxa"/>
            <w:vAlign w:val="center"/>
          </w:tcPr>
          <w:p>
            <w:pPr>
              <w:pStyle w:val="13"/>
            </w:pPr>
            <w:r>
              <w:t>32</w:t>
            </w:r>
          </w:p>
        </w:tc>
        <w:tc>
          <w:tcPr>
            <w:tcW w:w="1971" w:type="dxa"/>
            <w:vAlign w:val="center"/>
          </w:tcPr>
          <w:p>
            <w:pPr>
              <w:pStyle w:val="14"/>
            </w:pPr>
            <w:r>
              <w:t>本年收入合计</w:t>
            </w:r>
          </w:p>
        </w:tc>
        <w:tc>
          <w:tcPr>
            <w:tcW w:w="1971" w:type="dxa"/>
            <w:vAlign w:val="center"/>
          </w:tcPr>
          <w:p>
            <w:pPr>
              <w:pStyle w:val="15"/>
            </w:pPr>
            <w:r>
              <w:t>474.14</w:t>
            </w:r>
          </w:p>
        </w:tc>
        <w:tc>
          <w:tcPr>
            <w:tcW w:w="1971" w:type="dxa"/>
            <w:vAlign w:val="center"/>
          </w:tcPr>
          <w:p>
            <w:pPr>
              <w:pStyle w:val="14"/>
            </w:pPr>
            <w:r>
              <w:t>本年支出合计</w:t>
            </w:r>
          </w:p>
        </w:tc>
        <w:tc>
          <w:tcPr>
            <w:tcW w:w="1971" w:type="dxa"/>
            <w:vAlign w:val="center"/>
          </w:tcPr>
          <w:p>
            <w:pPr>
              <w:pStyle w:val="15"/>
            </w:pPr>
            <w:r>
              <w:t>474.14</w:t>
            </w:r>
          </w:p>
        </w:tc>
      </w:tr>
      <w:tr>
        <w:trPr>
          <w:trHeight w:val="369" w:hRule="atLeast"/>
          <w:jc w:val="center"/>
        </w:trPr>
        <w:tc>
          <w:tcPr>
            <w:tcW w:w="1971" w:type="dxa"/>
            <w:vAlign w:val="center"/>
          </w:tcPr>
          <w:p>
            <w:pPr>
              <w:pStyle w:val="13"/>
            </w:pPr>
            <w:r>
              <w:t>33</w:t>
            </w:r>
          </w:p>
        </w:tc>
        <w:tc>
          <w:tcPr>
            <w:tcW w:w="1971" w:type="dxa"/>
            <w:vAlign w:val="center"/>
          </w:tcPr>
          <w:p>
            <w:pPr>
              <w:pStyle w:val="12"/>
            </w:pPr>
            <w:r>
              <w:t>上年结转结余</w:t>
            </w:r>
          </w:p>
        </w:tc>
        <w:tc>
          <w:tcPr>
            <w:tcW w:w="1971" w:type="dxa"/>
            <w:vAlign w:val="center"/>
          </w:tcPr>
          <w:p>
            <w:pPr>
              <w:pStyle w:val="11"/>
            </w:pPr>
          </w:p>
        </w:tc>
        <w:tc>
          <w:tcPr>
            <w:tcW w:w="1971" w:type="dxa"/>
            <w:vAlign w:val="center"/>
          </w:tcPr>
          <w:p>
            <w:pPr>
              <w:pStyle w:val="12"/>
            </w:pPr>
            <w:r>
              <w:t>年终结转结余</w:t>
            </w:r>
          </w:p>
        </w:tc>
        <w:tc>
          <w:tcPr>
            <w:tcW w:w="1971" w:type="dxa"/>
            <w:vAlign w:val="center"/>
          </w:tcPr>
          <w:p>
            <w:pPr>
              <w:pStyle w:val="11"/>
            </w:pPr>
          </w:p>
        </w:tc>
      </w:tr>
      <w:tr>
        <w:trPr>
          <w:trHeight w:val="369" w:hRule="atLeast"/>
          <w:jc w:val="center"/>
        </w:trPr>
        <w:tc>
          <w:tcPr>
            <w:tcW w:w="1971" w:type="dxa"/>
            <w:vAlign w:val="center"/>
          </w:tcPr>
          <w:p>
            <w:pPr>
              <w:pStyle w:val="13"/>
            </w:pPr>
            <w:r>
              <w:t>34</w:t>
            </w:r>
          </w:p>
        </w:tc>
        <w:tc>
          <w:tcPr>
            <w:tcW w:w="1971" w:type="dxa"/>
            <w:vAlign w:val="center"/>
          </w:tcPr>
          <w:p>
            <w:pPr>
              <w:pStyle w:val="14"/>
            </w:pPr>
            <w:r>
              <w:t>收入总计</w:t>
            </w:r>
          </w:p>
        </w:tc>
        <w:tc>
          <w:tcPr>
            <w:tcW w:w="1971" w:type="dxa"/>
            <w:vAlign w:val="center"/>
          </w:tcPr>
          <w:p>
            <w:pPr>
              <w:pStyle w:val="15"/>
            </w:pPr>
            <w:r>
              <w:t>474.14</w:t>
            </w:r>
          </w:p>
        </w:tc>
        <w:tc>
          <w:tcPr>
            <w:tcW w:w="1971" w:type="dxa"/>
            <w:vAlign w:val="center"/>
          </w:tcPr>
          <w:p>
            <w:pPr>
              <w:pStyle w:val="14"/>
            </w:pPr>
            <w:r>
              <w:t>支出总计</w:t>
            </w:r>
          </w:p>
        </w:tc>
        <w:tc>
          <w:tcPr>
            <w:tcW w:w="1971" w:type="dxa"/>
            <w:vAlign w:val="center"/>
          </w:tcPr>
          <w:p>
            <w:pPr>
              <w:pStyle w:val="15"/>
            </w:pPr>
            <w:r>
              <w:t>474.14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204高阳县信访局</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rPr>
          <w:trHeight w:val="369" w:hRule="atLeast"/>
          <w:tblHeader/>
          <w:jc w:val="center"/>
        </w:trPr>
        <w:tc>
          <w:tcPr>
            <w:tcW w:w="758" w:type="dxa"/>
            <w:vMerge w:val="continue"/>
            <w:vAlign w:val="top"/>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vAlign w:val="top"/>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vAlign w:val="top"/>
          </w:tcPr>
          <w:p/>
        </w:tc>
      </w:tr>
      <w:tr>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474.14</w:t>
            </w:r>
          </w:p>
        </w:tc>
        <w:tc>
          <w:tcPr>
            <w:tcW w:w="758" w:type="dxa"/>
            <w:vAlign w:val="center"/>
          </w:tcPr>
          <w:p>
            <w:pPr>
              <w:pStyle w:val="15"/>
            </w:pPr>
            <w:r>
              <w:t>474.14</w:t>
            </w:r>
          </w:p>
        </w:tc>
        <w:tc>
          <w:tcPr>
            <w:tcW w:w="758" w:type="dxa"/>
            <w:vAlign w:val="center"/>
          </w:tcPr>
          <w:p>
            <w:pPr>
              <w:pStyle w:val="15"/>
            </w:pPr>
            <w:r>
              <w:t>474.14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rPr>
          <w:trHeight w:val="369" w:hRule="atLeast"/>
          <w:jc w:val="center"/>
        </w:trPr>
        <w:tc>
          <w:tcPr>
            <w:tcW w:w="758" w:type="dxa"/>
            <w:vAlign w:val="center"/>
          </w:tcPr>
          <w:p>
            <w:pPr>
              <w:pStyle w:val="13"/>
            </w:pPr>
            <w:r>
              <w:t>2</w:t>
            </w:r>
          </w:p>
        </w:tc>
        <w:tc>
          <w:tcPr>
            <w:tcW w:w="758" w:type="dxa"/>
            <w:vAlign w:val="center"/>
          </w:tcPr>
          <w:p>
            <w:pPr>
              <w:pStyle w:val="12"/>
            </w:pPr>
            <w:r>
              <w:t>201</w:t>
            </w:r>
          </w:p>
        </w:tc>
        <w:tc>
          <w:tcPr>
            <w:tcW w:w="758" w:type="dxa"/>
            <w:vAlign w:val="center"/>
          </w:tcPr>
          <w:p>
            <w:pPr>
              <w:pStyle w:val="12"/>
            </w:pPr>
            <w:r>
              <w:t>一般公共服务支出</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w:t>
            </w:r>
          </w:p>
        </w:tc>
        <w:tc>
          <w:tcPr>
            <w:tcW w:w="758" w:type="dxa"/>
            <w:vAlign w:val="center"/>
          </w:tcPr>
          <w:p>
            <w:pPr>
              <w:pStyle w:val="12"/>
            </w:pPr>
            <w:r>
              <w:t>20103</w:t>
            </w:r>
          </w:p>
        </w:tc>
        <w:tc>
          <w:tcPr>
            <w:tcW w:w="758" w:type="dxa"/>
            <w:vAlign w:val="center"/>
          </w:tcPr>
          <w:p>
            <w:pPr>
              <w:pStyle w:val="12"/>
            </w:pPr>
            <w:r>
              <w:t>政府办公厅（室）及相关机构事务</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4</w:t>
            </w:r>
          </w:p>
        </w:tc>
        <w:tc>
          <w:tcPr>
            <w:tcW w:w="758" w:type="dxa"/>
            <w:vAlign w:val="center"/>
          </w:tcPr>
          <w:p>
            <w:pPr>
              <w:pStyle w:val="12"/>
            </w:pPr>
            <w:r>
              <w:t>2010308</w:t>
            </w:r>
          </w:p>
        </w:tc>
        <w:tc>
          <w:tcPr>
            <w:tcW w:w="758" w:type="dxa"/>
            <w:vAlign w:val="center"/>
          </w:tcPr>
          <w:p>
            <w:pPr>
              <w:pStyle w:val="12"/>
            </w:pPr>
            <w:r>
              <w:t>信访事务</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r>
              <w:t>460.04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5</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6</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7</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r>
              <w:t>6.71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8</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9</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10</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11</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12</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13</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r>
              <w:t>4.41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204高阳县信访局</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rPr>
          <w:trHeight w:val="369" w:hRule="atLeast"/>
          <w:tblHeader/>
          <w:jc w:val="center"/>
        </w:trPr>
        <w:tc>
          <w:tcPr>
            <w:tcW w:w="1095" w:type="dxa"/>
            <w:vMerge w:val="continue"/>
            <w:vAlign w:val="top"/>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r>
      <w:tr>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474.14</w:t>
            </w:r>
          </w:p>
        </w:tc>
        <w:tc>
          <w:tcPr>
            <w:tcW w:w="1095" w:type="dxa"/>
            <w:vAlign w:val="center"/>
          </w:tcPr>
          <w:p>
            <w:pPr>
              <w:pStyle w:val="15"/>
            </w:pPr>
            <w:r>
              <w:t>99.14</w:t>
            </w:r>
          </w:p>
        </w:tc>
        <w:tc>
          <w:tcPr>
            <w:tcW w:w="1095" w:type="dxa"/>
            <w:vAlign w:val="center"/>
          </w:tcPr>
          <w:p>
            <w:pPr>
              <w:pStyle w:val="15"/>
            </w:pPr>
            <w:r>
              <w:t>375.00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rPr>
          <w:trHeight w:val="369" w:hRule="atLeast"/>
          <w:jc w:val="center"/>
        </w:trPr>
        <w:tc>
          <w:tcPr>
            <w:tcW w:w="1095" w:type="dxa"/>
            <w:vAlign w:val="center"/>
          </w:tcPr>
          <w:p>
            <w:pPr>
              <w:pStyle w:val="13"/>
            </w:pPr>
            <w:r>
              <w:t>2</w:t>
            </w:r>
          </w:p>
        </w:tc>
        <w:tc>
          <w:tcPr>
            <w:tcW w:w="1095" w:type="dxa"/>
            <w:vAlign w:val="center"/>
          </w:tcPr>
          <w:p>
            <w:pPr>
              <w:pStyle w:val="12"/>
            </w:pPr>
            <w:r>
              <w:t>201</w:t>
            </w:r>
          </w:p>
        </w:tc>
        <w:tc>
          <w:tcPr>
            <w:tcW w:w="1095" w:type="dxa"/>
            <w:vAlign w:val="center"/>
          </w:tcPr>
          <w:p>
            <w:pPr>
              <w:pStyle w:val="12"/>
            </w:pPr>
            <w:r>
              <w:t>一般公共服务支出</w:t>
            </w:r>
          </w:p>
        </w:tc>
        <w:tc>
          <w:tcPr>
            <w:tcW w:w="1095" w:type="dxa"/>
            <w:vAlign w:val="center"/>
          </w:tcPr>
          <w:p>
            <w:pPr>
              <w:pStyle w:val="11"/>
            </w:pPr>
            <w:r>
              <w:t>460.04</w:t>
            </w:r>
          </w:p>
        </w:tc>
        <w:tc>
          <w:tcPr>
            <w:tcW w:w="1095" w:type="dxa"/>
            <w:vAlign w:val="center"/>
          </w:tcPr>
          <w:p>
            <w:pPr>
              <w:pStyle w:val="11"/>
            </w:pPr>
            <w:r>
              <w:t>85.04</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w:t>
            </w:r>
          </w:p>
        </w:tc>
        <w:tc>
          <w:tcPr>
            <w:tcW w:w="1095" w:type="dxa"/>
            <w:vAlign w:val="center"/>
          </w:tcPr>
          <w:p>
            <w:pPr>
              <w:pStyle w:val="12"/>
            </w:pPr>
            <w:r>
              <w:t>20103</w:t>
            </w:r>
          </w:p>
        </w:tc>
        <w:tc>
          <w:tcPr>
            <w:tcW w:w="1095" w:type="dxa"/>
            <w:vAlign w:val="center"/>
          </w:tcPr>
          <w:p>
            <w:pPr>
              <w:pStyle w:val="12"/>
            </w:pPr>
            <w:r>
              <w:t>政府办公厅（室）及相关机构事务</w:t>
            </w:r>
          </w:p>
        </w:tc>
        <w:tc>
          <w:tcPr>
            <w:tcW w:w="1095" w:type="dxa"/>
            <w:vAlign w:val="center"/>
          </w:tcPr>
          <w:p>
            <w:pPr>
              <w:pStyle w:val="11"/>
            </w:pPr>
            <w:r>
              <w:t>460.04</w:t>
            </w:r>
          </w:p>
        </w:tc>
        <w:tc>
          <w:tcPr>
            <w:tcW w:w="1095" w:type="dxa"/>
            <w:vAlign w:val="center"/>
          </w:tcPr>
          <w:p>
            <w:pPr>
              <w:pStyle w:val="11"/>
            </w:pPr>
            <w:r>
              <w:t>85.04</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4</w:t>
            </w:r>
          </w:p>
        </w:tc>
        <w:tc>
          <w:tcPr>
            <w:tcW w:w="1095" w:type="dxa"/>
            <w:vAlign w:val="center"/>
          </w:tcPr>
          <w:p>
            <w:pPr>
              <w:pStyle w:val="12"/>
            </w:pPr>
            <w:r>
              <w:t>2010308</w:t>
            </w:r>
          </w:p>
        </w:tc>
        <w:tc>
          <w:tcPr>
            <w:tcW w:w="1095" w:type="dxa"/>
            <w:vAlign w:val="center"/>
          </w:tcPr>
          <w:p>
            <w:pPr>
              <w:pStyle w:val="12"/>
            </w:pPr>
            <w:r>
              <w:t>信访事务</w:t>
            </w:r>
          </w:p>
        </w:tc>
        <w:tc>
          <w:tcPr>
            <w:tcW w:w="1095" w:type="dxa"/>
            <w:vAlign w:val="center"/>
          </w:tcPr>
          <w:p>
            <w:pPr>
              <w:pStyle w:val="11"/>
            </w:pPr>
            <w:r>
              <w:t>460.04</w:t>
            </w:r>
          </w:p>
        </w:tc>
        <w:tc>
          <w:tcPr>
            <w:tcW w:w="1095" w:type="dxa"/>
            <w:vAlign w:val="center"/>
          </w:tcPr>
          <w:p>
            <w:pPr>
              <w:pStyle w:val="11"/>
            </w:pPr>
            <w:r>
              <w:t>85.04</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5</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6.71</w:t>
            </w:r>
          </w:p>
        </w:tc>
        <w:tc>
          <w:tcPr>
            <w:tcW w:w="1095" w:type="dxa"/>
            <w:vAlign w:val="center"/>
          </w:tcPr>
          <w:p>
            <w:pPr>
              <w:pStyle w:val="11"/>
            </w:pPr>
            <w:r>
              <w:t>6.71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6</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6.71</w:t>
            </w:r>
          </w:p>
        </w:tc>
        <w:tc>
          <w:tcPr>
            <w:tcW w:w="1095" w:type="dxa"/>
            <w:vAlign w:val="center"/>
          </w:tcPr>
          <w:p>
            <w:pPr>
              <w:pStyle w:val="11"/>
            </w:pPr>
            <w:r>
              <w:t>6.71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7</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6.71</w:t>
            </w:r>
          </w:p>
        </w:tc>
        <w:tc>
          <w:tcPr>
            <w:tcW w:w="1095" w:type="dxa"/>
            <w:vAlign w:val="center"/>
          </w:tcPr>
          <w:p>
            <w:pPr>
              <w:pStyle w:val="11"/>
            </w:pPr>
            <w:r>
              <w:t>6.71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8</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9</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10</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11</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4.41</w:t>
            </w:r>
          </w:p>
        </w:tc>
        <w:tc>
          <w:tcPr>
            <w:tcW w:w="1095" w:type="dxa"/>
            <w:vAlign w:val="center"/>
          </w:tcPr>
          <w:p>
            <w:pPr>
              <w:pStyle w:val="11"/>
            </w:pPr>
            <w:r>
              <w:t>4.41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12</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4.41</w:t>
            </w:r>
          </w:p>
        </w:tc>
        <w:tc>
          <w:tcPr>
            <w:tcW w:w="1095" w:type="dxa"/>
            <w:vAlign w:val="center"/>
          </w:tcPr>
          <w:p>
            <w:pPr>
              <w:pStyle w:val="11"/>
            </w:pPr>
            <w:r>
              <w:t>4.41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13</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4.41</w:t>
            </w:r>
          </w:p>
        </w:tc>
        <w:tc>
          <w:tcPr>
            <w:tcW w:w="1095" w:type="dxa"/>
            <w:vAlign w:val="center"/>
          </w:tcPr>
          <w:p>
            <w:pPr>
              <w:pStyle w:val="11"/>
            </w:pPr>
            <w:r>
              <w:t>4.41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204高阳县信访局</w:t>
            </w:r>
          </w:p>
        </w:tc>
        <w:tc>
          <w:tcPr>
            <w:tcW w:w="1232" w:type="dxa"/>
            <w:tcBorders>
              <w:top w:val="single" w:color="FFFFFF" w:sz="6" w:space="0"/>
              <w:left w:val="single" w:color="FFFFFF" w:sz="6" w:space="0"/>
              <w:right w:val="single" w:color="FFFFFF" w:sz="6" w:space="0"/>
            </w:tcBorders>
            <w:vAlign w:val="center"/>
          </w:tcPr>
          <w:p>
            <w:pPr>
              <w:pStyle w:val="8"/>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rPr>
          <w:trHeight w:val="369" w:hRule="atLeast"/>
          <w:tblHeader/>
          <w:jc w:val="center"/>
        </w:trPr>
        <w:tc>
          <w:tcPr>
            <w:tcW w:w="1232" w:type="dxa"/>
            <w:vMerge w:val="continue"/>
            <w:vAlign w:val="top"/>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474.14</w:t>
            </w:r>
          </w:p>
        </w:tc>
        <w:tc>
          <w:tcPr>
            <w:tcW w:w="1232" w:type="dxa"/>
            <w:vAlign w:val="center"/>
          </w:tcPr>
          <w:p>
            <w:pPr>
              <w:pStyle w:val="12"/>
            </w:pPr>
            <w:r>
              <w:t>一、一般公共服务支出</w:t>
            </w:r>
          </w:p>
        </w:tc>
        <w:tc>
          <w:tcPr>
            <w:tcW w:w="1232" w:type="dxa"/>
            <w:vAlign w:val="center"/>
          </w:tcPr>
          <w:p>
            <w:pPr>
              <w:pStyle w:val="11"/>
            </w:pPr>
            <w:r>
              <w:t>460.04</w:t>
            </w:r>
          </w:p>
        </w:tc>
        <w:tc>
          <w:tcPr>
            <w:tcW w:w="1232" w:type="dxa"/>
            <w:vAlign w:val="center"/>
          </w:tcPr>
          <w:p>
            <w:pPr>
              <w:pStyle w:val="11"/>
            </w:pPr>
            <w:r>
              <w:t>460.04</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6.71</w:t>
            </w:r>
          </w:p>
        </w:tc>
        <w:tc>
          <w:tcPr>
            <w:tcW w:w="1232" w:type="dxa"/>
            <w:vAlign w:val="center"/>
          </w:tcPr>
          <w:p>
            <w:pPr>
              <w:pStyle w:val="11"/>
            </w:pPr>
            <w:r>
              <w:t>6.71</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2.98</w:t>
            </w:r>
          </w:p>
        </w:tc>
        <w:tc>
          <w:tcPr>
            <w:tcW w:w="1232" w:type="dxa"/>
            <w:vAlign w:val="center"/>
          </w:tcPr>
          <w:p>
            <w:pPr>
              <w:pStyle w:val="11"/>
            </w:pPr>
            <w:r>
              <w:t>2.98</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4.41</w:t>
            </w:r>
          </w:p>
        </w:tc>
        <w:tc>
          <w:tcPr>
            <w:tcW w:w="1232" w:type="dxa"/>
            <w:vAlign w:val="center"/>
          </w:tcPr>
          <w:p>
            <w:pPr>
              <w:pStyle w:val="11"/>
            </w:pPr>
            <w:r>
              <w:t>4.41</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474.14</w:t>
            </w:r>
          </w:p>
        </w:tc>
        <w:tc>
          <w:tcPr>
            <w:tcW w:w="1232" w:type="dxa"/>
            <w:vAlign w:val="center"/>
          </w:tcPr>
          <w:p>
            <w:pPr>
              <w:pStyle w:val="14"/>
            </w:pPr>
            <w:r>
              <w:t>本年支出合计</w:t>
            </w:r>
          </w:p>
        </w:tc>
        <w:tc>
          <w:tcPr>
            <w:tcW w:w="1232" w:type="dxa"/>
            <w:vAlign w:val="center"/>
          </w:tcPr>
          <w:p>
            <w:pPr>
              <w:pStyle w:val="15"/>
            </w:pPr>
            <w:r>
              <w:t>474.14</w:t>
            </w:r>
          </w:p>
        </w:tc>
        <w:tc>
          <w:tcPr>
            <w:tcW w:w="1232" w:type="dxa"/>
            <w:vAlign w:val="center"/>
          </w:tcPr>
          <w:p>
            <w:pPr>
              <w:pStyle w:val="15"/>
            </w:pPr>
            <w:r>
              <w:t>474.14</w:t>
            </w:r>
          </w:p>
        </w:tc>
        <w:tc>
          <w:tcPr>
            <w:tcW w:w="1232" w:type="dxa"/>
            <w:vAlign w:val="center"/>
          </w:tcPr>
          <w:p>
            <w:pPr>
              <w:pStyle w:val="15"/>
            </w:pPr>
          </w:p>
        </w:tc>
        <w:tc>
          <w:tcPr>
            <w:tcW w:w="1232" w:type="dxa"/>
            <w:vAlign w:val="center"/>
          </w:tcPr>
          <w:p>
            <w:pPr>
              <w:pStyle w:val="15"/>
            </w:pPr>
          </w:p>
        </w:tc>
      </w:tr>
      <w:tr>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474.14</w:t>
            </w:r>
          </w:p>
        </w:tc>
        <w:tc>
          <w:tcPr>
            <w:tcW w:w="1232" w:type="dxa"/>
            <w:vAlign w:val="center"/>
          </w:tcPr>
          <w:p>
            <w:pPr>
              <w:pStyle w:val="14"/>
            </w:pPr>
            <w:r>
              <w:t>支出总计</w:t>
            </w:r>
          </w:p>
        </w:tc>
        <w:tc>
          <w:tcPr>
            <w:tcW w:w="1232" w:type="dxa"/>
            <w:vAlign w:val="center"/>
          </w:tcPr>
          <w:p>
            <w:pPr>
              <w:pStyle w:val="15"/>
            </w:pPr>
            <w:r>
              <w:t>474.14</w:t>
            </w:r>
          </w:p>
        </w:tc>
        <w:tc>
          <w:tcPr>
            <w:tcW w:w="1232" w:type="dxa"/>
            <w:vAlign w:val="center"/>
          </w:tcPr>
          <w:p>
            <w:pPr>
              <w:pStyle w:val="15"/>
            </w:pPr>
            <w:r>
              <w:t>474.14</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474.14</w:t>
            </w:r>
          </w:p>
        </w:tc>
        <w:tc>
          <w:tcPr>
            <w:tcW w:w="1643" w:type="dxa"/>
            <w:vAlign w:val="center"/>
          </w:tcPr>
          <w:p>
            <w:pPr>
              <w:pStyle w:val="15"/>
            </w:pPr>
            <w:r>
              <w:t>99.14</w:t>
            </w:r>
          </w:p>
        </w:tc>
        <w:tc>
          <w:tcPr>
            <w:tcW w:w="1643" w:type="dxa"/>
            <w:vAlign w:val="center"/>
          </w:tcPr>
          <w:p>
            <w:pPr>
              <w:pStyle w:val="15"/>
            </w:pPr>
            <w:r>
              <w:t>375.00</w:t>
            </w:r>
          </w:p>
        </w:tc>
      </w:tr>
      <w:tr>
        <w:trPr>
          <w:trHeight w:val="369" w:hRule="atLeast"/>
          <w:jc w:val="center"/>
        </w:trPr>
        <w:tc>
          <w:tcPr>
            <w:tcW w:w="1643" w:type="dxa"/>
            <w:vAlign w:val="center"/>
          </w:tcPr>
          <w:p>
            <w:pPr>
              <w:pStyle w:val="13"/>
            </w:pPr>
            <w:r>
              <w:t>2</w:t>
            </w:r>
          </w:p>
        </w:tc>
        <w:tc>
          <w:tcPr>
            <w:tcW w:w="1643" w:type="dxa"/>
            <w:vAlign w:val="center"/>
          </w:tcPr>
          <w:p>
            <w:pPr>
              <w:pStyle w:val="12"/>
            </w:pPr>
            <w:r>
              <w:t>201</w:t>
            </w:r>
          </w:p>
        </w:tc>
        <w:tc>
          <w:tcPr>
            <w:tcW w:w="1643" w:type="dxa"/>
            <w:vAlign w:val="center"/>
          </w:tcPr>
          <w:p>
            <w:pPr>
              <w:pStyle w:val="12"/>
            </w:pPr>
            <w:r>
              <w:t>一般公共服务支出</w:t>
            </w:r>
          </w:p>
        </w:tc>
        <w:tc>
          <w:tcPr>
            <w:tcW w:w="1643" w:type="dxa"/>
            <w:vAlign w:val="center"/>
          </w:tcPr>
          <w:p>
            <w:pPr>
              <w:pStyle w:val="11"/>
            </w:pPr>
            <w:r>
              <w:t>460.04</w:t>
            </w:r>
          </w:p>
        </w:tc>
        <w:tc>
          <w:tcPr>
            <w:tcW w:w="1643" w:type="dxa"/>
            <w:vAlign w:val="center"/>
          </w:tcPr>
          <w:p>
            <w:pPr>
              <w:pStyle w:val="11"/>
            </w:pPr>
            <w:r>
              <w:t>85.04</w:t>
            </w:r>
          </w:p>
        </w:tc>
        <w:tc>
          <w:tcPr>
            <w:tcW w:w="1643" w:type="dxa"/>
            <w:vAlign w:val="center"/>
          </w:tcPr>
          <w:p>
            <w:pPr>
              <w:pStyle w:val="11"/>
            </w:pPr>
            <w:r>
              <w:t>375.00</w:t>
            </w:r>
          </w:p>
        </w:tc>
      </w:tr>
      <w:tr>
        <w:trPr>
          <w:trHeight w:val="369" w:hRule="atLeast"/>
          <w:jc w:val="center"/>
        </w:trPr>
        <w:tc>
          <w:tcPr>
            <w:tcW w:w="1643" w:type="dxa"/>
            <w:vAlign w:val="center"/>
          </w:tcPr>
          <w:p>
            <w:pPr>
              <w:pStyle w:val="13"/>
            </w:pPr>
            <w:r>
              <w:t>3</w:t>
            </w:r>
          </w:p>
        </w:tc>
        <w:tc>
          <w:tcPr>
            <w:tcW w:w="1643" w:type="dxa"/>
            <w:vAlign w:val="center"/>
          </w:tcPr>
          <w:p>
            <w:pPr>
              <w:pStyle w:val="12"/>
            </w:pPr>
            <w:r>
              <w:t>20103</w:t>
            </w:r>
          </w:p>
        </w:tc>
        <w:tc>
          <w:tcPr>
            <w:tcW w:w="1643" w:type="dxa"/>
            <w:vAlign w:val="center"/>
          </w:tcPr>
          <w:p>
            <w:pPr>
              <w:pStyle w:val="12"/>
            </w:pPr>
            <w:r>
              <w:t>政府办公厅（室）及相关机构事务</w:t>
            </w:r>
          </w:p>
        </w:tc>
        <w:tc>
          <w:tcPr>
            <w:tcW w:w="1643" w:type="dxa"/>
            <w:vAlign w:val="center"/>
          </w:tcPr>
          <w:p>
            <w:pPr>
              <w:pStyle w:val="11"/>
            </w:pPr>
            <w:r>
              <w:t>460.04</w:t>
            </w:r>
          </w:p>
        </w:tc>
        <w:tc>
          <w:tcPr>
            <w:tcW w:w="1643" w:type="dxa"/>
            <w:vAlign w:val="center"/>
          </w:tcPr>
          <w:p>
            <w:pPr>
              <w:pStyle w:val="11"/>
            </w:pPr>
            <w:r>
              <w:t>85.04</w:t>
            </w:r>
          </w:p>
        </w:tc>
        <w:tc>
          <w:tcPr>
            <w:tcW w:w="1643" w:type="dxa"/>
            <w:vAlign w:val="center"/>
          </w:tcPr>
          <w:p>
            <w:pPr>
              <w:pStyle w:val="11"/>
            </w:pPr>
            <w:r>
              <w:t>375.00</w:t>
            </w:r>
          </w:p>
        </w:tc>
      </w:tr>
      <w:tr>
        <w:trPr>
          <w:trHeight w:val="369" w:hRule="atLeast"/>
          <w:jc w:val="center"/>
        </w:trPr>
        <w:tc>
          <w:tcPr>
            <w:tcW w:w="1643" w:type="dxa"/>
            <w:vAlign w:val="center"/>
          </w:tcPr>
          <w:p>
            <w:pPr>
              <w:pStyle w:val="13"/>
            </w:pPr>
            <w:r>
              <w:t>4</w:t>
            </w:r>
          </w:p>
        </w:tc>
        <w:tc>
          <w:tcPr>
            <w:tcW w:w="1643" w:type="dxa"/>
            <w:vAlign w:val="center"/>
          </w:tcPr>
          <w:p>
            <w:pPr>
              <w:pStyle w:val="12"/>
            </w:pPr>
            <w:r>
              <w:t>2010308</w:t>
            </w:r>
          </w:p>
        </w:tc>
        <w:tc>
          <w:tcPr>
            <w:tcW w:w="1643" w:type="dxa"/>
            <w:vAlign w:val="center"/>
          </w:tcPr>
          <w:p>
            <w:pPr>
              <w:pStyle w:val="12"/>
            </w:pPr>
            <w:r>
              <w:t>信访事务</w:t>
            </w:r>
          </w:p>
        </w:tc>
        <w:tc>
          <w:tcPr>
            <w:tcW w:w="1643" w:type="dxa"/>
            <w:vAlign w:val="center"/>
          </w:tcPr>
          <w:p>
            <w:pPr>
              <w:pStyle w:val="11"/>
            </w:pPr>
            <w:r>
              <w:t>460.04</w:t>
            </w:r>
          </w:p>
        </w:tc>
        <w:tc>
          <w:tcPr>
            <w:tcW w:w="1643" w:type="dxa"/>
            <w:vAlign w:val="center"/>
          </w:tcPr>
          <w:p>
            <w:pPr>
              <w:pStyle w:val="11"/>
            </w:pPr>
            <w:r>
              <w:t>85.04</w:t>
            </w:r>
          </w:p>
        </w:tc>
        <w:tc>
          <w:tcPr>
            <w:tcW w:w="1643" w:type="dxa"/>
            <w:vAlign w:val="center"/>
          </w:tcPr>
          <w:p>
            <w:pPr>
              <w:pStyle w:val="11"/>
            </w:pPr>
            <w:r>
              <w:t>375.00</w:t>
            </w:r>
          </w:p>
        </w:tc>
      </w:tr>
      <w:tr>
        <w:trPr>
          <w:trHeight w:val="369" w:hRule="atLeast"/>
          <w:jc w:val="center"/>
        </w:trPr>
        <w:tc>
          <w:tcPr>
            <w:tcW w:w="1643" w:type="dxa"/>
            <w:vAlign w:val="center"/>
          </w:tcPr>
          <w:p>
            <w:pPr>
              <w:pStyle w:val="13"/>
            </w:pPr>
            <w:r>
              <w:t>5</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6</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7</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8</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9</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11</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r>
        <w:trPr>
          <w:trHeight w:val="369" w:hRule="atLeast"/>
          <w:jc w:val="center"/>
        </w:trPr>
        <w:tc>
          <w:tcPr>
            <w:tcW w:w="1643" w:type="dxa"/>
            <w:vAlign w:val="center"/>
          </w:tcPr>
          <w:p>
            <w:pPr>
              <w:pStyle w:val="13"/>
            </w:pPr>
            <w:r>
              <w:t>12</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r>
        <w:trPr>
          <w:trHeight w:val="369" w:hRule="atLeast"/>
          <w:jc w:val="center"/>
        </w:trPr>
        <w:tc>
          <w:tcPr>
            <w:tcW w:w="1643" w:type="dxa"/>
            <w:vAlign w:val="center"/>
          </w:tcPr>
          <w:p>
            <w:pPr>
              <w:pStyle w:val="13"/>
            </w:pPr>
            <w:r>
              <w:t>13</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99.14</w:t>
            </w:r>
          </w:p>
        </w:tc>
        <w:tc>
          <w:tcPr>
            <w:tcW w:w="1643" w:type="dxa"/>
            <w:vAlign w:val="center"/>
          </w:tcPr>
          <w:p>
            <w:pPr>
              <w:pStyle w:val="15"/>
            </w:pPr>
            <w:r>
              <w:t>73.94</w:t>
            </w:r>
          </w:p>
        </w:tc>
        <w:tc>
          <w:tcPr>
            <w:tcW w:w="1643" w:type="dxa"/>
            <w:vAlign w:val="center"/>
          </w:tcPr>
          <w:p>
            <w:pPr>
              <w:pStyle w:val="15"/>
            </w:pPr>
            <w:r>
              <w:t>25.20</w:t>
            </w:r>
          </w:p>
        </w:tc>
      </w:tr>
      <w:tr>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62.83</w:t>
            </w:r>
          </w:p>
        </w:tc>
        <w:tc>
          <w:tcPr>
            <w:tcW w:w="1643" w:type="dxa"/>
            <w:vAlign w:val="center"/>
          </w:tcPr>
          <w:p>
            <w:pPr>
              <w:pStyle w:val="11"/>
            </w:pPr>
            <w:r>
              <w:t>62.83</w:t>
            </w:r>
          </w:p>
        </w:tc>
        <w:tc>
          <w:tcPr>
            <w:tcW w:w="1643" w:type="dxa"/>
            <w:vAlign w:val="center"/>
          </w:tcPr>
          <w:p>
            <w:pPr>
              <w:pStyle w:val="11"/>
            </w:pPr>
          </w:p>
        </w:tc>
      </w:tr>
      <w:tr>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23.50</w:t>
            </w:r>
          </w:p>
        </w:tc>
        <w:tc>
          <w:tcPr>
            <w:tcW w:w="1643" w:type="dxa"/>
            <w:vAlign w:val="center"/>
          </w:tcPr>
          <w:p>
            <w:pPr>
              <w:pStyle w:val="11"/>
            </w:pPr>
            <w:r>
              <w:t>23.50</w:t>
            </w:r>
          </w:p>
        </w:tc>
        <w:tc>
          <w:tcPr>
            <w:tcW w:w="1643" w:type="dxa"/>
            <w:vAlign w:val="center"/>
          </w:tcPr>
          <w:p>
            <w:pPr>
              <w:pStyle w:val="11"/>
            </w:pPr>
          </w:p>
        </w:tc>
      </w:tr>
      <w:tr>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16.44</w:t>
            </w:r>
          </w:p>
        </w:tc>
        <w:tc>
          <w:tcPr>
            <w:tcW w:w="1643" w:type="dxa"/>
            <w:vAlign w:val="center"/>
          </w:tcPr>
          <w:p>
            <w:pPr>
              <w:pStyle w:val="11"/>
            </w:pPr>
            <w:r>
              <w:t>16.44</w:t>
            </w:r>
          </w:p>
        </w:tc>
        <w:tc>
          <w:tcPr>
            <w:tcW w:w="1643" w:type="dxa"/>
            <w:vAlign w:val="center"/>
          </w:tcPr>
          <w:p>
            <w:pPr>
              <w:pStyle w:val="11"/>
            </w:pPr>
          </w:p>
        </w:tc>
      </w:tr>
      <w:tr>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8.60</w:t>
            </w:r>
          </w:p>
        </w:tc>
        <w:tc>
          <w:tcPr>
            <w:tcW w:w="1643" w:type="dxa"/>
            <w:vAlign w:val="center"/>
          </w:tcPr>
          <w:p>
            <w:pPr>
              <w:pStyle w:val="11"/>
            </w:pPr>
            <w:r>
              <w:t>8.60</w:t>
            </w:r>
          </w:p>
        </w:tc>
        <w:tc>
          <w:tcPr>
            <w:tcW w:w="1643" w:type="dxa"/>
            <w:vAlign w:val="center"/>
          </w:tcPr>
          <w:p>
            <w:pPr>
              <w:pStyle w:val="11"/>
            </w:pPr>
          </w:p>
        </w:tc>
      </w:tr>
      <w:tr>
        <w:trPr>
          <w:trHeight w:val="369" w:hRule="atLeast"/>
          <w:jc w:val="center"/>
        </w:trPr>
        <w:tc>
          <w:tcPr>
            <w:tcW w:w="1643" w:type="dxa"/>
            <w:vAlign w:val="center"/>
          </w:tcPr>
          <w:p>
            <w:pPr>
              <w:pStyle w:val="13"/>
            </w:pPr>
            <w:r>
              <w:t>6</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6.71</w:t>
            </w:r>
          </w:p>
        </w:tc>
        <w:tc>
          <w:tcPr>
            <w:tcW w:w="1643" w:type="dxa"/>
            <w:vAlign w:val="center"/>
          </w:tcPr>
          <w:p>
            <w:pPr>
              <w:pStyle w:val="11"/>
            </w:pPr>
            <w:r>
              <w:t>6.71</w:t>
            </w:r>
          </w:p>
        </w:tc>
        <w:tc>
          <w:tcPr>
            <w:tcW w:w="1643" w:type="dxa"/>
            <w:vAlign w:val="center"/>
          </w:tcPr>
          <w:p>
            <w:pPr>
              <w:pStyle w:val="11"/>
            </w:pPr>
          </w:p>
        </w:tc>
      </w:tr>
      <w:tr>
        <w:trPr>
          <w:trHeight w:val="369" w:hRule="atLeast"/>
          <w:jc w:val="center"/>
        </w:trPr>
        <w:tc>
          <w:tcPr>
            <w:tcW w:w="1643" w:type="dxa"/>
            <w:vAlign w:val="center"/>
          </w:tcPr>
          <w:p>
            <w:pPr>
              <w:pStyle w:val="13"/>
            </w:pPr>
            <w:r>
              <w:t>7</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rPr>
          <w:trHeight w:val="369" w:hRule="atLeast"/>
          <w:jc w:val="center"/>
        </w:trPr>
        <w:tc>
          <w:tcPr>
            <w:tcW w:w="1643" w:type="dxa"/>
            <w:vAlign w:val="center"/>
          </w:tcPr>
          <w:p>
            <w:pPr>
              <w:pStyle w:val="13"/>
            </w:pPr>
            <w:r>
              <w:t>8</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0.19</w:t>
            </w:r>
          </w:p>
        </w:tc>
        <w:tc>
          <w:tcPr>
            <w:tcW w:w="1643" w:type="dxa"/>
            <w:vAlign w:val="center"/>
          </w:tcPr>
          <w:p>
            <w:pPr>
              <w:pStyle w:val="11"/>
            </w:pPr>
            <w:r>
              <w:t>0.19</w:t>
            </w:r>
          </w:p>
        </w:tc>
        <w:tc>
          <w:tcPr>
            <w:tcW w:w="1643" w:type="dxa"/>
            <w:vAlign w:val="center"/>
          </w:tcPr>
          <w:p>
            <w:pPr>
              <w:pStyle w:val="11"/>
            </w:pPr>
          </w:p>
        </w:tc>
      </w:tr>
      <w:tr>
        <w:trPr>
          <w:trHeight w:val="369" w:hRule="atLeast"/>
          <w:jc w:val="center"/>
        </w:trPr>
        <w:tc>
          <w:tcPr>
            <w:tcW w:w="1643" w:type="dxa"/>
            <w:vAlign w:val="center"/>
          </w:tcPr>
          <w:p>
            <w:pPr>
              <w:pStyle w:val="13"/>
            </w:pPr>
            <w:r>
              <w:t>9</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4.41</w:t>
            </w:r>
          </w:p>
        </w:tc>
        <w:tc>
          <w:tcPr>
            <w:tcW w:w="1643" w:type="dxa"/>
            <w:vAlign w:val="center"/>
          </w:tcPr>
          <w:p>
            <w:pPr>
              <w:pStyle w:val="11"/>
            </w:pPr>
            <w:r>
              <w:t>4.41</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23.40</w:t>
            </w:r>
          </w:p>
        </w:tc>
        <w:tc>
          <w:tcPr>
            <w:tcW w:w="1643" w:type="dxa"/>
            <w:vAlign w:val="center"/>
          </w:tcPr>
          <w:p>
            <w:pPr>
              <w:pStyle w:val="11"/>
            </w:pPr>
          </w:p>
        </w:tc>
        <w:tc>
          <w:tcPr>
            <w:tcW w:w="1643" w:type="dxa"/>
            <w:vAlign w:val="center"/>
          </w:tcPr>
          <w:p>
            <w:pPr>
              <w:pStyle w:val="11"/>
            </w:pPr>
            <w:r>
              <w:t>23.40</w:t>
            </w:r>
          </w:p>
        </w:tc>
      </w:tr>
      <w:tr>
        <w:trPr>
          <w:trHeight w:val="369" w:hRule="atLeast"/>
          <w:jc w:val="center"/>
        </w:trPr>
        <w:tc>
          <w:tcPr>
            <w:tcW w:w="1643" w:type="dxa"/>
            <w:vAlign w:val="center"/>
          </w:tcPr>
          <w:p>
            <w:pPr>
              <w:pStyle w:val="13"/>
            </w:pPr>
            <w:r>
              <w:t>11</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1.96</w:t>
            </w:r>
          </w:p>
        </w:tc>
        <w:tc>
          <w:tcPr>
            <w:tcW w:w="1643" w:type="dxa"/>
            <w:vAlign w:val="center"/>
          </w:tcPr>
          <w:p>
            <w:pPr>
              <w:pStyle w:val="11"/>
            </w:pPr>
          </w:p>
        </w:tc>
        <w:tc>
          <w:tcPr>
            <w:tcW w:w="1643" w:type="dxa"/>
            <w:vAlign w:val="center"/>
          </w:tcPr>
          <w:p>
            <w:pPr>
              <w:pStyle w:val="11"/>
            </w:pPr>
            <w:r>
              <w:t>1.96</w:t>
            </w:r>
          </w:p>
        </w:tc>
      </w:tr>
      <w:tr>
        <w:trPr>
          <w:trHeight w:val="369" w:hRule="atLeast"/>
          <w:jc w:val="center"/>
        </w:trPr>
        <w:tc>
          <w:tcPr>
            <w:tcW w:w="1643" w:type="dxa"/>
            <w:vAlign w:val="center"/>
          </w:tcPr>
          <w:p>
            <w:pPr>
              <w:pStyle w:val="13"/>
            </w:pPr>
            <w:r>
              <w:t>12</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4.23</w:t>
            </w:r>
          </w:p>
        </w:tc>
        <w:tc>
          <w:tcPr>
            <w:tcW w:w="1643" w:type="dxa"/>
            <w:vAlign w:val="center"/>
          </w:tcPr>
          <w:p>
            <w:pPr>
              <w:pStyle w:val="11"/>
            </w:pPr>
          </w:p>
        </w:tc>
        <w:tc>
          <w:tcPr>
            <w:tcW w:w="1643" w:type="dxa"/>
            <w:vAlign w:val="center"/>
          </w:tcPr>
          <w:p>
            <w:pPr>
              <w:pStyle w:val="11"/>
            </w:pPr>
            <w:r>
              <w:t>4.23</w:t>
            </w:r>
          </w:p>
        </w:tc>
      </w:tr>
      <w:tr>
        <w:trPr>
          <w:trHeight w:val="369" w:hRule="atLeast"/>
          <w:jc w:val="center"/>
        </w:trPr>
        <w:tc>
          <w:tcPr>
            <w:tcW w:w="1643" w:type="dxa"/>
            <w:vAlign w:val="center"/>
          </w:tcPr>
          <w:p>
            <w:pPr>
              <w:pStyle w:val="13"/>
            </w:pPr>
            <w:r>
              <w:t>13</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4.94</w:t>
            </w:r>
          </w:p>
        </w:tc>
        <w:tc>
          <w:tcPr>
            <w:tcW w:w="1643" w:type="dxa"/>
            <w:vAlign w:val="center"/>
          </w:tcPr>
          <w:p>
            <w:pPr>
              <w:pStyle w:val="11"/>
            </w:pPr>
          </w:p>
        </w:tc>
        <w:tc>
          <w:tcPr>
            <w:tcW w:w="1643" w:type="dxa"/>
            <w:vAlign w:val="center"/>
          </w:tcPr>
          <w:p>
            <w:pPr>
              <w:pStyle w:val="11"/>
            </w:pPr>
            <w:r>
              <w:t>4.94</w:t>
            </w:r>
          </w:p>
        </w:tc>
      </w:tr>
      <w:tr>
        <w:trPr>
          <w:trHeight w:val="369" w:hRule="atLeast"/>
          <w:jc w:val="center"/>
        </w:trPr>
        <w:tc>
          <w:tcPr>
            <w:tcW w:w="1643" w:type="dxa"/>
            <w:vAlign w:val="center"/>
          </w:tcPr>
          <w:p>
            <w:pPr>
              <w:pStyle w:val="13"/>
            </w:pPr>
            <w:r>
              <w:t>14</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0.40</w:t>
            </w:r>
          </w:p>
        </w:tc>
        <w:tc>
          <w:tcPr>
            <w:tcW w:w="1643" w:type="dxa"/>
            <w:vAlign w:val="center"/>
          </w:tcPr>
          <w:p>
            <w:pPr>
              <w:pStyle w:val="11"/>
            </w:pPr>
          </w:p>
        </w:tc>
        <w:tc>
          <w:tcPr>
            <w:tcW w:w="1643" w:type="dxa"/>
            <w:vAlign w:val="center"/>
          </w:tcPr>
          <w:p>
            <w:pPr>
              <w:pStyle w:val="11"/>
            </w:pPr>
            <w:r>
              <w:t>0.40</w:t>
            </w:r>
          </w:p>
        </w:tc>
      </w:tr>
      <w:tr>
        <w:trPr>
          <w:trHeight w:val="369" w:hRule="atLeast"/>
          <w:jc w:val="center"/>
        </w:trPr>
        <w:tc>
          <w:tcPr>
            <w:tcW w:w="1643" w:type="dxa"/>
            <w:vAlign w:val="center"/>
          </w:tcPr>
          <w:p>
            <w:pPr>
              <w:pStyle w:val="13"/>
            </w:pPr>
            <w:r>
              <w:t>15</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0.81</w:t>
            </w:r>
          </w:p>
        </w:tc>
        <w:tc>
          <w:tcPr>
            <w:tcW w:w="1643" w:type="dxa"/>
            <w:vAlign w:val="center"/>
          </w:tcPr>
          <w:p>
            <w:pPr>
              <w:pStyle w:val="11"/>
            </w:pPr>
          </w:p>
        </w:tc>
        <w:tc>
          <w:tcPr>
            <w:tcW w:w="1643" w:type="dxa"/>
            <w:vAlign w:val="center"/>
          </w:tcPr>
          <w:p>
            <w:pPr>
              <w:pStyle w:val="11"/>
            </w:pPr>
            <w:r>
              <w:t>0.81</w:t>
            </w:r>
          </w:p>
        </w:tc>
      </w:tr>
      <w:tr>
        <w:trPr>
          <w:trHeight w:val="369" w:hRule="atLeast"/>
          <w:jc w:val="center"/>
        </w:trPr>
        <w:tc>
          <w:tcPr>
            <w:tcW w:w="1643" w:type="dxa"/>
            <w:vAlign w:val="center"/>
          </w:tcPr>
          <w:p>
            <w:pPr>
              <w:pStyle w:val="13"/>
            </w:pPr>
            <w:r>
              <w:t>16</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0.75</w:t>
            </w:r>
          </w:p>
        </w:tc>
        <w:tc>
          <w:tcPr>
            <w:tcW w:w="1643" w:type="dxa"/>
            <w:vAlign w:val="center"/>
          </w:tcPr>
          <w:p>
            <w:pPr>
              <w:pStyle w:val="11"/>
            </w:pPr>
          </w:p>
        </w:tc>
        <w:tc>
          <w:tcPr>
            <w:tcW w:w="1643" w:type="dxa"/>
            <w:vAlign w:val="center"/>
          </w:tcPr>
          <w:p>
            <w:pPr>
              <w:pStyle w:val="11"/>
            </w:pPr>
            <w:r>
              <w:t>0.75</w:t>
            </w:r>
          </w:p>
        </w:tc>
      </w:tr>
      <w:tr>
        <w:trPr>
          <w:trHeight w:val="369" w:hRule="atLeast"/>
          <w:jc w:val="center"/>
        </w:trPr>
        <w:tc>
          <w:tcPr>
            <w:tcW w:w="1643" w:type="dxa"/>
            <w:vAlign w:val="center"/>
          </w:tcPr>
          <w:p>
            <w:pPr>
              <w:pStyle w:val="13"/>
            </w:pPr>
            <w:r>
              <w:t>17</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5.40</w:t>
            </w:r>
          </w:p>
        </w:tc>
        <w:tc>
          <w:tcPr>
            <w:tcW w:w="1643" w:type="dxa"/>
            <w:vAlign w:val="center"/>
          </w:tcPr>
          <w:p>
            <w:pPr>
              <w:pStyle w:val="11"/>
            </w:pPr>
          </w:p>
        </w:tc>
        <w:tc>
          <w:tcPr>
            <w:tcW w:w="1643" w:type="dxa"/>
            <w:vAlign w:val="center"/>
          </w:tcPr>
          <w:p>
            <w:pPr>
              <w:pStyle w:val="11"/>
            </w:pPr>
            <w:r>
              <w:t>5.40</w:t>
            </w:r>
          </w:p>
        </w:tc>
      </w:tr>
      <w:tr>
        <w:trPr>
          <w:trHeight w:val="369" w:hRule="atLeast"/>
          <w:jc w:val="center"/>
        </w:trPr>
        <w:tc>
          <w:tcPr>
            <w:tcW w:w="1643" w:type="dxa"/>
            <w:vAlign w:val="center"/>
          </w:tcPr>
          <w:p>
            <w:pPr>
              <w:pStyle w:val="13"/>
            </w:pPr>
            <w:r>
              <w:t>18</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3.90</w:t>
            </w:r>
          </w:p>
        </w:tc>
        <w:tc>
          <w:tcPr>
            <w:tcW w:w="1643" w:type="dxa"/>
            <w:vAlign w:val="center"/>
          </w:tcPr>
          <w:p>
            <w:pPr>
              <w:pStyle w:val="11"/>
            </w:pPr>
          </w:p>
        </w:tc>
        <w:tc>
          <w:tcPr>
            <w:tcW w:w="1643" w:type="dxa"/>
            <w:vAlign w:val="center"/>
          </w:tcPr>
          <w:p>
            <w:pPr>
              <w:pStyle w:val="11"/>
            </w:pPr>
            <w:r>
              <w:t>3.90</w:t>
            </w:r>
          </w:p>
        </w:tc>
      </w:tr>
      <w:tr>
        <w:trPr>
          <w:trHeight w:val="369" w:hRule="atLeast"/>
          <w:jc w:val="center"/>
        </w:trPr>
        <w:tc>
          <w:tcPr>
            <w:tcW w:w="1643" w:type="dxa"/>
            <w:vAlign w:val="center"/>
          </w:tcPr>
          <w:p>
            <w:pPr>
              <w:pStyle w:val="13"/>
            </w:pPr>
            <w:r>
              <w:t>19</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1.01</w:t>
            </w:r>
          </w:p>
        </w:tc>
        <w:tc>
          <w:tcPr>
            <w:tcW w:w="1643" w:type="dxa"/>
            <w:vAlign w:val="center"/>
          </w:tcPr>
          <w:p>
            <w:pPr>
              <w:pStyle w:val="11"/>
            </w:pPr>
          </w:p>
        </w:tc>
        <w:tc>
          <w:tcPr>
            <w:tcW w:w="1643" w:type="dxa"/>
            <w:vAlign w:val="center"/>
          </w:tcPr>
          <w:p>
            <w:pPr>
              <w:pStyle w:val="11"/>
            </w:pPr>
            <w:r>
              <w:t>1.01</w:t>
            </w:r>
          </w:p>
        </w:tc>
      </w:tr>
      <w:tr>
        <w:trPr>
          <w:trHeight w:val="369" w:hRule="atLeast"/>
          <w:jc w:val="center"/>
        </w:trPr>
        <w:tc>
          <w:tcPr>
            <w:tcW w:w="1643" w:type="dxa"/>
            <w:vAlign w:val="center"/>
          </w:tcPr>
          <w:p>
            <w:pPr>
              <w:pStyle w:val="13"/>
            </w:pPr>
            <w:r>
              <w:t>20</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11.11</w:t>
            </w:r>
          </w:p>
        </w:tc>
        <w:tc>
          <w:tcPr>
            <w:tcW w:w="1643" w:type="dxa"/>
            <w:vAlign w:val="center"/>
          </w:tcPr>
          <w:p>
            <w:pPr>
              <w:pStyle w:val="11"/>
            </w:pPr>
            <w:r>
              <w:t>11.11</w:t>
            </w:r>
          </w:p>
        </w:tc>
        <w:tc>
          <w:tcPr>
            <w:tcW w:w="1643" w:type="dxa"/>
            <w:vAlign w:val="center"/>
          </w:tcPr>
          <w:p>
            <w:pPr>
              <w:pStyle w:val="11"/>
            </w:pPr>
          </w:p>
        </w:tc>
      </w:tr>
      <w:tr>
        <w:trPr>
          <w:trHeight w:val="369" w:hRule="atLeast"/>
          <w:jc w:val="center"/>
        </w:trPr>
        <w:tc>
          <w:tcPr>
            <w:tcW w:w="1643" w:type="dxa"/>
            <w:vAlign w:val="center"/>
          </w:tcPr>
          <w:p>
            <w:pPr>
              <w:pStyle w:val="13"/>
            </w:pPr>
            <w:r>
              <w:t>21</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10.60</w:t>
            </w:r>
          </w:p>
        </w:tc>
        <w:tc>
          <w:tcPr>
            <w:tcW w:w="1643" w:type="dxa"/>
            <w:vAlign w:val="center"/>
          </w:tcPr>
          <w:p>
            <w:pPr>
              <w:pStyle w:val="11"/>
            </w:pPr>
            <w:r>
              <w:t>10.60</w:t>
            </w:r>
          </w:p>
        </w:tc>
        <w:tc>
          <w:tcPr>
            <w:tcW w:w="1643" w:type="dxa"/>
            <w:vAlign w:val="center"/>
          </w:tcPr>
          <w:p>
            <w:pPr>
              <w:pStyle w:val="11"/>
            </w:pPr>
          </w:p>
        </w:tc>
      </w:tr>
      <w:tr>
        <w:trPr>
          <w:trHeight w:val="369" w:hRule="atLeast"/>
          <w:jc w:val="center"/>
        </w:trPr>
        <w:tc>
          <w:tcPr>
            <w:tcW w:w="1643" w:type="dxa"/>
            <w:vAlign w:val="center"/>
          </w:tcPr>
          <w:p>
            <w:pPr>
              <w:pStyle w:val="13"/>
            </w:pPr>
            <w:r>
              <w:t>22</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0.51</w:t>
            </w:r>
          </w:p>
        </w:tc>
        <w:tc>
          <w:tcPr>
            <w:tcW w:w="1643" w:type="dxa"/>
            <w:vAlign w:val="center"/>
          </w:tcPr>
          <w:p>
            <w:pPr>
              <w:pStyle w:val="11"/>
            </w:pPr>
            <w:r>
              <w:t>0.51</w:t>
            </w:r>
          </w:p>
        </w:tc>
        <w:tc>
          <w:tcPr>
            <w:tcW w:w="1643" w:type="dxa"/>
            <w:vAlign w:val="center"/>
          </w:tcPr>
          <w:p>
            <w:pPr>
              <w:pStyle w:val="11"/>
            </w:pPr>
          </w:p>
        </w:tc>
      </w:tr>
      <w:tr>
        <w:trPr>
          <w:trHeight w:val="369" w:hRule="atLeast"/>
          <w:jc w:val="center"/>
        </w:trPr>
        <w:tc>
          <w:tcPr>
            <w:tcW w:w="1643" w:type="dxa"/>
            <w:vAlign w:val="center"/>
          </w:tcPr>
          <w:p>
            <w:pPr>
              <w:pStyle w:val="13"/>
            </w:pPr>
            <w:r>
              <w:t>23</w:t>
            </w:r>
          </w:p>
        </w:tc>
        <w:tc>
          <w:tcPr>
            <w:tcW w:w="1643" w:type="dxa"/>
            <w:vAlign w:val="center"/>
          </w:tcPr>
          <w:p>
            <w:pPr>
              <w:pStyle w:val="12"/>
            </w:pPr>
            <w:r>
              <w:t>310</w:t>
            </w:r>
          </w:p>
        </w:tc>
        <w:tc>
          <w:tcPr>
            <w:tcW w:w="1643" w:type="dxa"/>
            <w:vAlign w:val="center"/>
          </w:tcPr>
          <w:p>
            <w:pPr>
              <w:pStyle w:val="12"/>
            </w:pPr>
            <w:r>
              <w:t>资本性支出</w:t>
            </w:r>
          </w:p>
        </w:tc>
        <w:tc>
          <w:tcPr>
            <w:tcW w:w="1643" w:type="dxa"/>
            <w:vAlign w:val="center"/>
          </w:tcPr>
          <w:p>
            <w:pPr>
              <w:pStyle w:val="11"/>
            </w:pPr>
            <w:r>
              <w:t>1.80</w:t>
            </w:r>
          </w:p>
        </w:tc>
        <w:tc>
          <w:tcPr>
            <w:tcW w:w="1643" w:type="dxa"/>
            <w:vAlign w:val="center"/>
          </w:tcPr>
          <w:p>
            <w:pPr>
              <w:pStyle w:val="11"/>
            </w:pPr>
          </w:p>
        </w:tc>
        <w:tc>
          <w:tcPr>
            <w:tcW w:w="1643" w:type="dxa"/>
            <w:vAlign w:val="center"/>
          </w:tcPr>
          <w:p>
            <w:pPr>
              <w:pStyle w:val="11"/>
            </w:pPr>
            <w:r>
              <w:t>1.80</w:t>
            </w:r>
          </w:p>
        </w:tc>
      </w:tr>
      <w:tr>
        <w:trPr>
          <w:trHeight w:val="369" w:hRule="atLeast"/>
          <w:jc w:val="center"/>
        </w:trPr>
        <w:tc>
          <w:tcPr>
            <w:tcW w:w="1643" w:type="dxa"/>
            <w:vAlign w:val="center"/>
          </w:tcPr>
          <w:p>
            <w:pPr>
              <w:pStyle w:val="13"/>
            </w:pPr>
            <w:r>
              <w:t>24</w:t>
            </w:r>
          </w:p>
        </w:tc>
        <w:tc>
          <w:tcPr>
            <w:tcW w:w="1643" w:type="dxa"/>
            <w:vAlign w:val="center"/>
          </w:tcPr>
          <w:p>
            <w:pPr>
              <w:pStyle w:val="12"/>
            </w:pPr>
            <w:r>
              <w:t>31002</w:t>
            </w:r>
          </w:p>
        </w:tc>
        <w:tc>
          <w:tcPr>
            <w:tcW w:w="1643" w:type="dxa"/>
            <w:vAlign w:val="center"/>
          </w:tcPr>
          <w:p>
            <w:pPr>
              <w:pStyle w:val="12"/>
            </w:pPr>
            <w:r>
              <w:t>办公设备购置</w:t>
            </w:r>
          </w:p>
        </w:tc>
        <w:tc>
          <w:tcPr>
            <w:tcW w:w="1643" w:type="dxa"/>
            <w:vAlign w:val="center"/>
          </w:tcPr>
          <w:p>
            <w:pPr>
              <w:pStyle w:val="11"/>
            </w:pPr>
            <w:r>
              <w:t>1.80</w:t>
            </w:r>
          </w:p>
        </w:tc>
        <w:tc>
          <w:tcPr>
            <w:tcW w:w="1643" w:type="dxa"/>
            <w:vAlign w:val="center"/>
          </w:tcPr>
          <w:p>
            <w:pPr>
              <w:pStyle w:val="11"/>
            </w:pPr>
          </w:p>
        </w:tc>
        <w:tc>
          <w:tcPr>
            <w:tcW w:w="1643" w:type="dxa"/>
            <w:vAlign w:val="center"/>
          </w:tcPr>
          <w:p>
            <w:pPr>
              <w:pStyle w:val="11"/>
            </w:pPr>
            <w:r>
              <w:t>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204高阳县信访局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rPr>
          <w:trHeight w:val="567" w:hRule="atLeast"/>
          <w:tblHeader/>
          <w:jc w:val="center"/>
        </w:trPr>
        <w:tc>
          <w:tcPr>
            <w:tcW w:w="1643" w:type="dxa"/>
            <w:vMerge w:val="continue"/>
            <w:vAlign w:val="top"/>
          </w:tcPr>
          <w:p/>
        </w:tc>
        <w:tc>
          <w:tcPr>
            <w:tcW w:w="1643" w:type="dxa"/>
            <w:vMerge w:val="continue"/>
            <w:vAlign w:val="top"/>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567" w:hRule="atLeast"/>
          <w:jc w:val="center"/>
        </w:trPr>
        <w:tc>
          <w:tcPr>
            <w:tcW w:w="1643" w:type="dxa"/>
            <w:vAlign w:val="center"/>
          </w:tcPr>
          <w:p>
            <w:pPr>
              <w:pStyle w:val="13"/>
            </w:pPr>
            <w:r>
              <w:t>1</w:t>
            </w:r>
          </w:p>
        </w:tc>
        <w:tc>
          <w:tcPr>
            <w:tcW w:w="1643" w:type="dxa"/>
            <w:vAlign w:val="center"/>
          </w:tcPr>
          <w:p>
            <w:pPr>
              <w:pStyle w:val="14"/>
            </w:pPr>
            <w:r>
              <w:t>合计</w:t>
            </w:r>
          </w:p>
        </w:tc>
        <w:tc>
          <w:tcPr>
            <w:tcW w:w="1643" w:type="dxa"/>
            <w:vAlign w:val="center"/>
          </w:tcPr>
          <w:p>
            <w:pPr>
              <w:pStyle w:val="15"/>
            </w:pPr>
            <w:r>
              <w:t>5.80</w:t>
            </w:r>
          </w:p>
        </w:tc>
        <w:tc>
          <w:tcPr>
            <w:tcW w:w="1643" w:type="dxa"/>
            <w:vAlign w:val="center"/>
          </w:tcPr>
          <w:p>
            <w:pPr>
              <w:pStyle w:val="15"/>
            </w:pPr>
            <w:r>
              <w:t>5.80</w:t>
            </w:r>
          </w:p>
        </w:tc>
        <w:tc>
          <w:tcPr>
            <w:tcW w:w="1643" w:type="dxa"/>
            <w:vAlign w:val="center"/>
          </w:tcPr>
          <w:p>
            <w:pPr>
              <w:pStyle w:val="15"/>
            </w:pPr>
          </w:p>
        </w:tc>
        <w:tc>
          <w:tcPr>
            <w:tcW w:w="1643" w:type="dxa"/>
            <w:vAlign w:val="center"/>
          </w:tcPr>
          <w:p>
            <w:pPr>
              <w:pStyle w:val="15"/>
            </w:pPr>
          </w:p>
        </w:tc>
      </w:tr>
      <w:tr>
        <w:trPr>
          <w:trHeight w:val="567" w:hRule="atLeast"/>
          <w:jc w:val="center"/>
        </w:trPr>
        <w:tc>
          <w:tcPr>
            <w:tcW w:w="1643"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5.80</w:t>
            </w:r>
          </w:p>
        </w:tc>
        <w:tc>
          <w:tcPr>
            <w:tcW w:w="1643" w:type="dxa"/>
            <w:vAlign w:val="center"/>
          </w:tcPr>
          <w:p>
            <w:pPr>
              <w:pStyle w:val="11"/>
            </w:pPr>
            <w:r>
              <w:t>5.80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5.40</w:t>
            </w:r>
          </w:p>
        </w:tc>
        <w:tc>
          <w:tcPr>
            <w:tcW w:w="1643" w:type="dxa"/>
            <w:vAlign w:val="center"/>
          </w:tcPr>
          <w:p>
            <w:pPr>
              <w:pStyle w:val="11"/>
            </w:pPr>
            <w:r>
              <w:t>5.40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5.40</w:t>
            </w:r>
          </w:p>
        </w:tc>
        <w:tc>
          <w:tcPr>
            <w:tcW w:w="1643" w:type="dxa"/>
            <w:vAlign w:val="center"/>
          </w:tcPr>
          <w:p>
            <w:pPr>
              <w:pStyle w:val="11"/>
            </w:pPr>
            <w:r>
              <w:t>5.40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0.40</w:t>
            </w:r>
          </w:p>
        </w:tc>
        <w:tc>
          <w:tcPr>
            <w:tcW w:w="1643" w:type="dxa"/>
            <w:vAlign w:val="center"/>
          </w:tcPr>
          <w:p>
            <w:pPr>
              <w:pStyle w:val="11"/>
            </w:pPr>
            <w:r>
              <w:t>0.40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10</w:t>
            </w:r>
          </w:p>
        </w:tc>
        <w:tc>
          <w:tcPr>
            <w:tcW w:w="1643" w:type="dxa"/>
            <w:vAlign w:val="center"/>
          </w:tcPr>
          <w:p>
            <w:pPr>
              <w:pStyle w:val="12"/>
            </w:pPr>
            <w:r>
              <w:t>四、会议费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11</w:t>
            </w:r>
          </w:p>
        </w:tc>
        <w:tc>
          <w:tcPr>
            <w:tcW w:w="1643" w:type="dxa"/>
            <w:vAlign w:val="center"/>
          </w:tcPr>
          <w:p>
            <w:pPr>
              <w:pStyle w:val="12"/>
            </w:pPr>
            <w:r>
              <w:t>五、培训费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高阳县信访局2023年部门预算信息公开情况说明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高阳县信访局2023年部门预算信息公开情况说明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、《地方预决算公开操作规程》和《关于进一步推进预算公开工作的实施意见》规定，现将高阳县信访局2023年部门预算公开如下：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（1）研究提出全县信访工作思路，拟订信访工作规范性文件。</w:t>
      </w:r>
    </w:p>
    <w:p>
      <w:pPr>
        <w:pStyle w:val="17"/>
      </w:pPr>
      <w:r>
        <w:t>（2）办理人民群众来信，接待群众来访，受理群众网上投诉，督办信访案件，负责人民群众建议征集工作。</w:t>
      </w:r>
    </w:p>
    <w:p>
      <w:pPr>
        <w:pStyle w:val="17"/>
      </w:pPr>
      <w:r>
        <w:t>（3）调查研究和综合分析全县信访形势及信访工作状况，总结推广各乡镇各部门信访工作经验，提出改进和加强信访工作的意见和建议。</w:t>
      </w:r>
    </w:p>
    <w:p>
      <w:pPr>
        <w:pStyle w:val="17"/>
      </w:pPr>
      <w:r>
        <w:t>（4）参与组织、协调全县社会治安综合治理和维护社会政治稳定工作，协调保障国家、省、市和县重大政治活动顺利进行，参与处理影响社会政治稳定的突发性、群体性事件。</w:t>
      </w:r>
    </w:p>
    <w:p>
      <w:pPr>
        <w:pStyle w:val="17"/>
      </w:pPr>
      <w:r>
        <w:t>（5）督促检查和指导乡镇（街道办）党委、政府和县直部门的信访工作。对乡镇（街道办）党委、政府和县直有关部门信访工作年度责任目标进行考核，对全县社会治安综合治理和维护社会政治稳定年度责任目标中有关信访工作进行考核。</w:t>
      </w:r>
    </w:p>
    <w:p>
      <w:pPr>
        <w:pStyle w:val="17"/>
      </w:pPr>
      <w:r>
        <w:t>（6）处理群众进京、赴省、到市上访工作，综合协调处理跨地区、跨部门、跨行业的重要信访问题，协同公安机关维护县委、县政府机关正常工作秩序。</w:t>
      </w:r>
    </w:p>
    <w:p>
      <w:pPr>
        <w:pStyle w:val="17"/>
      </w:pPr>
      <w:r>
        <w:t>（7）负责县级领导和县直部门领导公开接访、包联案件和重点信访事项会商的组织协调工作。</w:t>
      </w:r>
    </w:p>
    <w:p>
      <w:pPr>
        <w:pStyle w:val="17"/>
      </w:pPr>
      <w:r>
        <w:t>（8）承担高阳县信访工作联席会议的日常工作，督促落实联席会议决定的事项。</w:t>
      </w:r>
    </w:p>
    <w:p>
      <w:pPr>
        <w:pStyle w:val="17"/>
      </w:pPr>
      <w:r>
        <w:t>（9）负责高阳县群众工作中心工作。</w:t>
      </w:r>
    </w:p>
    <w:p>
      <w:pPr>
        <w:pStyle w:val="17"/>
      </w:pPr>
      <w:r>
        <w:t>（10）完成县委、县政府以及国家信访局、省信访局、市信访局交办的其他工作任务。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rPr>
          <w:trHeight w:val="369" w:hRule="atLeast"/>
          <w:jc w:val="center"/>
        </w:trPr>
        <w:tc>
          <w:tcPr>
            <w:tcW w:w="2464" w:type="dxa"/>
            <w:vAlign w:val="center"/>
          </w:tcPr>
          <w:p>
            <w:pPr>
              <w:pStyle w:val="12"/>
            </w:pPr>
            <w:r>
              <w:t>高阳县信访局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部门预算的编制实行综合预算管理，即全部收入和支出都反映在预算中。高阳县信访局机关及所属事业单位的收支包含在部门预算中。</w:t>
      </w:r>
    </w:p>
    <w:p>
      <w:pPr>
        <w:pStyle w:val="18"/>
      </w:pPr>
      <w:r>
        <w:t>按照预算管理有关规定，目前我县部门预算的编制实行综合预算管理，即全部收入和支出都全部反映在预算中。高阳县信访局(机关）机关及所属事业单位的收支包含在部门预算中。</w:t>
      </w:r>
    </w:p>
    <w:p>
      <w:pPr>
        <w:pStyle w:val="18"/>
      </w:pPr>
      <w:r>
        <w:t>1、收入说明</w:t>
      </w:r>
    </w:p>
    <w:p>
      <w:pPr>
        <w:pStyle w:val="18"/>
      </w:pPr>
      <w:r>
        <w:t>2023年预算收入474.14万元，其中：一般公共预算收入474.14万元，基金预算收入0万元，国有资本经营预算收入0万元，财政专户核拨收入0万元，单位资金收入0万元，上年结转结余0万元。</w:t>
      </w:r>
    </w:p>
    <w:p>
      <w:pPr>
        <w:pStyle w:val="18"/>
      </w:pPr>
      <w:r>
        <w:t>2、支出说明</w:t>
      </w:r>
    </w:p>
    <w:p>
      <w:pPr>
        <w:pStyle w:val="18"/>
      </w:pPr>
      <w:r>
        <w:t>2023年支出预算474.14万元，其中基本支出99.14万元，包括人员经费73.94万元和日常公用经费25.2万元；项目支出375万元，主要为信访案件及信访维稳经费（劳务派遣）15万元，信访案件及信访维稳经费220万元，创建信访工作示范县10万元，信访案件及信访维稳经费（网上信访平台建设）130万元。</w:t>
      </w:r>
    </w:p>
    <w:p>
      <w:pPr>
        <w:pStyle w:val="18"/>
      </w:pPr>
      <w:r>
        <w:t>3、比上年增减情况</w:t>
      </w:r>
    </w:p>
    <w:p>
      <w:pPr>
        <w:pStyle w:val="18"/>
      </w:pPr>
      <w:r>
        <w:t>2023年预算收支安排474.14万元，较2022年预算减少16.68万元，其中：基本支出增加15.32万元，主要为增加人员经费支出12.78万元，公用经费2.54万元；项目支出减少32万元，主要为减少群众工作中心运转经费项目。</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高阳县信访局2023年度机关运行经费安排25.2万元，包括办公费、邮电费、取暖费、公务接待费、福利费、公务用车运行维护费、其他交通费用、公务移动通讯补贴、离退休干部公用经费特需费、工会经费、党组织活动费共11项，其他项若有实际发生再按预算要求从办公费里调剂解决，经费编制完全按照县编制要求和标准安排，确实降低行政成本。</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我部门预算批复“三公经费”5.8万元，其中因公出国境费0元，公务用车运行维护费用5.4万元，公务接待0.4万元。三公经费比去年减少。2023年，我部门针对三公经费管理制定了严格的管理制度，认真落实规定，厉行节约，杜绝浪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以习近平新时代中国特色社会主义思想为指导，深入学习贯彻习近平总书记关于加强和改进人民信访工作的重要思想，坚持以人民为中心，用群众工作统领信访工作，坚持“三到位一处理”工作原则，严格按照“北京不能去，河北不聚，保定也不聚”的工作要求，积极办理人民群众来信，接待群众来访， 受理群众网上投诉，督办信访案件；认真调查研究和综合分析全县信访形势及信访工作状况，总结推广各乡镇各部门信访工作经验，提出改进和加强信访工作的意见和建议；参与组织、协调全县社会治安综合治理和维护社会政治稳定工作，协调保障国家、省、市和县重大政治活动顺利进行，参与处理影响社会政治稳定的突发性、群体性事件。坚持以人民为中心，组织开展集中治理重复信访、化解信访积案专项工作，持续推进信访工作体制机制改革，强化信访工作基层基础，及时就地解决信访问题，化解突出矛盾，维护社会和谐稳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1、抓好基层基础工作，加大矛盾纠纷排查化解力度</w:t>
      </w:r>
    </w:p>
    <w:p>
      <w:pPr>
        <w:pStyle w:val="22"/>
      </w:pPr>
      <w:r>
        <w:t>绩效目标：接待走访群众，及时交办、转办、督办信访事项；坚持日排查、日报告，与月排查相结合，对排查出的信访隐患，逐一落实“四明确”责任制，限期化解，最大限度将问题解决在基层、化解在萌芽。</w:t>
      </w:r>
    </w:p>
    <w:p>
      <w:pPr>
        <w:pStyle w:val="22"/>
      </w:pPr>
      <w:r>
        <w:t>绩效指标：1、主要领导每周轮流公开接访1次，每次不少于半天；2、加强县级领导干部“信访接待日”制度的推动落实。县（市、区）除党政领导外，其他县级“四大班子”领导干部每月至少公开接访1天；3、每日上报矛盾纠纷排查情况，做到不漏排、不漏报。</w:t>
      </w:r>
    </w:p>
    <w:p>
      <w:pPr>
        <w:pStyle w:val="22"/>
      </w:pPr>
      <w:r>
        <w:t>2、抓好网上信访办理，促进信访工作提质增效</w:t>
      </w:r>
    </w:p>
    <w:p>
      <w:pPr>
        <w:pStyle w:val="22"/>
      </w:pPr>
      <w:r>
        <w:t>绩效目标：网上信访接收信访事项，及时受理，按期答复。</w:t>
      </w:r>
    </w:p>
    <w:p>
      <w:pPr>
        <w:pStyle w:val="22"/>
      </w:pPr>
      <w:r>
        <w:t>绩效指标：积极打造网上信访投诉渠道，提高网上信访“三率”。保证及时受理率100%、按期答复率100%、信访部门群众满意率保持较高水准。</w:t>
      </w:r>
    </w:p>
    <w:p>
      <w:pPr>
        <w:pStyle w:val="22"/>
      </w:pPr>
      <w:r>
        <w:t>3、抓好重要节点维稳工作，保障重大活动顺利进行</w:t>
      </w:r>
    </w:p>
    <w:p>
      <w:pPr>
        <w:pStyle w:val="22"/>
      </w:pPr>
      <w:r>
        <w:t>绩效目标：做好驻京、驻石值班工作，对重点信访人员进行临控。</w:t>
      </w:r>
    </w:p>
    <w:p>
      <w:pPr>
        <w:pStyle w:val="22"/>
      </w:pPr>
      <w:r>
        <w:t>绩效指标：减少“四访”发生量，保障重大活动顺利进行</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建立健全预算管理制度，配备专业管理人员，加强内控；严格执行预算，及时向局领导汇报预算支出情况，对可能出现调整、追加预算的项目及时进行报告。</w:t>
      </w:r>
    </w:p>
    <w:p>
      <w:pPr>
        <w:pStyle w:val="23"/>
      </w:pPr>
      <w:r>
        <w:t>完善制度建设。制定完善预算绩效管理制度、资金管理办法、工作保障制度等，为全年预算绩效目标的实现奠定制度基础。</w:t>
      </w:r>
    </w:p>
    <w:p>
      <w:pPr>
        <w:pStyle w:val="23"/>
      </w:pPr>
      <w:r>
        <w:t>加强支出管理。优化支出结构、编细编实预算、加快履行政府采购手续、尽快启动项目、及时支付资金、6月底前细化代编预算、按规定及时下达资金等多种措施，确保支出进度达标。</w:t>
      </w:r>
    </w:p>
    <w:p>
      <w:pPr>
        <w:pStyle w:val="23"/>
      </w:pPr>
      <w:r>
        <w:t>加强绩效运行监控。按要求开展绩效运行监控，发现问题及时采取措施，确保绩效目标如期保质实现。</w:t>
      </w:r>
    </w:p>
    <w:p>
      <w:pPr>
        <w:pStyle w:val="23"/>
      </w:pPr>
      <w:r>
        <w:t>做好绩效自评。按要求开展上年度部门预算绩效自评和重点评价工作，对评价中发现的问题及时整改，调整优化支出结构，提高财政资金使用效益。</w:t>
      </w:r>
    </w:p>
    <w:p>
      <w:pPr>
        <w:pStyle w:val="23"/>
      </w:pPr>
      <w:r>
        <w:t>规范财务资产管理。完善财务管理制度，严格审批程序，加强固定资产登记、使用和报废处置管理，做到支出合理，物尽其用。</w:t>
      </w:r>
    </w:p>
    <w:p>
      <w:pPr>
        <w:pStyle w:val="23"/>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numId w:val="0"/>
        </w:numPr>
        <w:spacing w:before="0" w:after="0" w:line="240" w:lineRule="auto"/>
        <w:jc w:val="left"/>
        <w:outlineLvl w:val="9"/>
        <w:rPr>
          <w:rFonts w:ascii="方正楷体_GBK" w:hAnsi="方正楷体_GBK" w:eastAsia="方正楷体_GBK" w:cs="方正楷体_GBK"/>
          <w:b/>
          <w:color w:val="000000"/>
          <w:sz w:val="32"/>
        </w:rPr>
      </w:pPr>
    </w:p>
    <w:p>
      <w:pPr>
        <w:numPr>
          <w:numId w:val="0"/>
        </w:numPr>
        <w:spacing w:before="0" w:after="0" w:line="240" w:lineRule="auto"/>
        <w:ind w:firstLine="560" w:firstLineChars="200"/>
        <w:jc w:val="left"/>
        <w:outlineLvl w:val="9"/>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1、创建信访工作示范县绩效目标表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1.创建2023年信访工作示范县。围绕“事要解决”开展信访工作示范县（市、区）创建活动，聚焦信访工作基层基础建设，激发基层信访工作创新活力，推动信访问题依法及时就地解决。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2、信访案件及信访维稳经费绩效目标表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1.妥善处置非正常访，推动重要信访事项解决，规范信访事项办理、终结，用好特殊疑难信访问题专项资金。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3、信访案件及信访维稳经费（劳务派遣）绩效目标表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1.更好的完成信访相关工作，维护全县依法有序信访的良好局面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4、信访案件及信访维稳经费（网上信访平台建设）绩效目标表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建立健全集投诉、办理、查询、跟踪、监督、评价于一体的“一网通”网上信访平台。推进各省市县乡及各级职能部门全部接入信访信息系统，实现互联互通。积极开展网上信访，保持网上信访三率较高水平，加强到县访接访力度，重视矛盾纠纷排查，从源头抓起，畅通信访渠道，积极消化信访案件，提高信访事项办理质量和效率，从根本上减少信访案件存量，维护社会和谐稳定。</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信访事项受理及时率</w:t>
            </w:r>
          </w:p>
        </w:tc>
        <w:tc>
          <w:tcPr>
            <w:tcW w:w="2466" w:type="dxa"/>
            <w:vAlign w:val="center"/>
          </w:tcPr>
          <w:p>
            <w:pPr>
              <w:pStyle w:val="12"/>
            </w:pPr>
            <w:r>
              <w:t>信访事项在规定时间内及时受理、转送、交办</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信访事项按期结案率</w:t>
            </w:r>
          </w:p>
        </w:tc>
        <w:tc>
          <w:tcPr>
            <w:tcW w:w="2466" w:type="dxa"/>
            <w:vAlign w:val="center"/>
          </w:tcPr>
          <w:p>
            <w:pPr>
              <w:pStyle w:val="12"/>
            </w:pPr>
            <w:r>
              <w:t>信访事项两个月内务必出具处理意见，按期办结</w:t>
            </w:r>
          </w:p>
        </w:tc>
        <w:tc>
          <w:tcPr>
            <w:tcW w:w="2466" w:type="dxa"/>
            <w:vAlign w:val="center"/>
          </w:tcPr>
          <w:p>
            <w:pPr>
              <w:pStyle w:val="12"/>
            </w:pPr>
            <w:r>
              <w:t>≥80%</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解决特殊信访疑难问题件数</w:t>
            </w:r>
          </w:p>
        </w:tc>
        <w:tc>
          <w:tcPr>
            <w:tcW w:w="2466" w:type="dxa"/>
            <w:vAlign w:val="center"/>
          </w:tcPr>
          <w:p>
            <w:pPr>
              <w:pStyle w:val="12"/>
            </w:pPr>
            <w:r>
              <w:t>指导全县信访督查、复查复核、听证等工作，并对相关事项进行审核、上报</w:t>
            </w:r>
          </w:p>
        </w:tc>
        <w:tc>
          <w:tcPr>
            <w:tcW w:w="2466" w:type="dxa"/>
            <w:vAlign w:val="center"/>
          </w:tcPr>
          <w:p>
            <w:pPr>
              <w:pStyle w:val="12"/>
            </w:pPr>
            <w:r>
              <w:t>≥10件</w:t>
            </w:r>
          </w:p>
        </w:tc>
        <w:tc>
          <w:tcPr>
            <w:tcW w:w="2466" w:type="dxa"/>
            <w:vAlign w:val="center"/>
          </w:tcPr>
          <w:p>
            <w:pPr>
              <w:pStyle w:val="12"/>
            </w:pPr>
            <w:r>
              <w:t>年度工作计划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实际支出金额占预算金额的比率</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工作开展的持续性</w:t>
            </w:r>
          </w:p>
        </w:tc>
        <w:tc>
          <w:tcPr>
            <w:tcW w:w="2466" w:type="dxa"/>
            <w:vAlign w:val="center"/>
          </w:tcPr>
          <w:p>
            <w:pPr>
              <w:pStyle w:val="12"/>
            </w:pPr>
            <w:r>
              <w:t>反映工作是否可以持续开展</w:t>
            </w:r>
          </w:p>
        </w:tc>
        <w:tc>
          <w:tcPr>
            <w:tcW w:w="2466" w:type="dxa"/>
            <w:vAlign w:val="center"/>
          </w:tcPr>
          <w:p>
            <w:pPr>
              <w:pStyle w:val="12"/>
            </w:pPr>
            <w:r>
              <w:t>100%</w:t>
            </w:r>
          </w:p>
        </w:tc>
        <w:tc>
          <w:tcPr>
            <w:tcW w:w="2466" w:type="dxa"/>
            <w:vAlign w:val="center"/>
          </w:tcPr>
          <w:p>
            <w:pPr>
              <w:pStyle w:val="12"/>
            </w:pPr>
            <w:r>
              <w:t>年度工作计划</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信访事项群众满意率</w:t>
            </w:r>
          </w:p>
        </w:tc>
        <w:tc>
          <w:tcPr>
            <w:tcW w:w="2466" w:type="dxa"/>
            <w:vAlign w:val="center"/>
          </w:tcPr>
          <w:p>
            <w:pPr>
              <w:pStyle w:val="12"/>
            </w:pPr>
            <w:r>
              <w:t>信访事项办结后，群众的认可程度及对信访机构和责任单位的评价</w:t>
            </w:r>
          </w:p>
        </w:tc>
        <w:tc>
          <w:tcPr>
            <w:tcW w:w="2466" w:type="dxa"/>
            <w:vAlign w:val="center"/>
          </w:tcPr>
          <w:p>
            <w:pPr>
              <w:pStyle w:val="12"/>
            </w:pPr>
            <w:r>
              <w:t>≥80%</w:t>
            </w:r>
          </w:p>
        </w:tc>
        <w:tc>
          <w:tcPr>
            <w:tcW w:w="246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2023年，高阳县信访局安排政府采购预算0.00万元。具体内容见下表。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204高阳县信访局</w:t>
            </w:r>
          </w:p>
        </w:tc>
        <w:tc>
          <w:tcPr>
            <w:tcW w:w="8316" w:type="dxa"/>
            <w:gridSpan w:val="9"/>
            <w:tcBorders>
              <w:top w:val="single" w:color="FFFFFF" w:sz="6" w:space="0"/>
              <w:left w:val="single" w:color="FFFFFF" w:sz="6" w:space="0"/>
              <w:right w:val="single" w:color="FFFFFF" w:sz="6" w:space="0"/>
            </w:tcBorders>
            <w:vAlign w:val="center"/>
          </w:tcPr>
          <w:p>
            <w:pPr>
              <w:pStyle w:val="24"/>
            </w:pPr>
            <w:r>
              <w:t>单位：万元</w:t>
            </w:r>
          </w:p>
        </w:tc>
      </w:tr>
      <w:tr>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rPr>
          <w:cantSplit/>
          <w:jc w:val="center"/>
        </w:trPr>
        <w:tc>
          <w:tcPr>
            <w:tcW w:w="924" w:type="dxa"/>
            <w:vAlign w:val="center"/>
          </w:tcPr>
          <w:p>
            <w:pPr>
              <w:pStyle w:val="12"/>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3"/>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高阳县信访局（含所属单位）上年末固定资产金额为114.31万元（详见下表）。本年度拟购置固定资产总额为2.16万元，</w:t>
      </w:r>
      <w:r>
        <w:rPr>
          <w:rFonts w:hint="eastAsia" w:ascii="Times New Roman" w:hAnsi="Times New Roman" w:eastAsia="方正仿宋_GBK" w:cs="Times New Roman"/>
          <w:b w:val="0"/>
          <w:color w:val="000000"/>
          <w:sz w:val="28"/>
        </w:rPr>
        <w:t>没有达到政府采购标准，不在政府采购预算体现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9"/>
            </w:pPr>
            <w:r>
              <w:t>204高阳县信访局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截止时间：2022-12-31</w:t>
            </w:r>
          </w:p>
        </w:tc>
      </w:tr>
      <w:tr>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114.31</w:t>
            </w:r>
          </w:p>
        </w:tc>
      </w:tr>
      <w:tr>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2、车辆（台、辆）</w:t>
            </w:r>
          </w:p>
        </w:tc>
        <w:tc>
          <w:tcPr>
            <w:tcW w:w="4933" w:type="dxa"/>
            <w:vAlign w:val="center"/>
          </w:tcPr>
          <w:p>
            <w:pPr>
              <w:pStyle w:val="13"/>
            </w:pPr>
            <w:r>
              <w:t>3</w:t>
            </w:r>
          </w:p>
        </w:tc>
        <w:tc>
          <w:tcPr>
            <w:tcW w:w="4933" w:type="dxa"/>
            <w:vAlign w:val="center"/>
          </w:tcPr>
          <w:p>
            <w:pPr>
              <w:pStyle w:val="11"/>
            </w:pPr>
            <w:r>
              <w:t>31.25</w:t>
            </w:r>
          </w:p>
        </w:tc>
      </w:tr>
      <w:tr>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4、其他固定资产</w:t>
            </w:r>
          </w:p>
        </w:tc>
        <w:tc>
          <w:tcPr>
            <w:tcW w:w="4933" w:type="dxa"/>
            <w:vAlign w:val="center"/>
          </w:tcPr>
          <w:p>
            <w:pPr>
              <w:pStyle w:val="13"/>
            </w:pPr>
            <w:r>
              <w:t>128</w:t>
            </w:r>
          </w:p>
        </w:tc>
        <w:tc>
          <w:tcPr>
            <w:tcW w:w="4933" w:type="dxa"/>
            <w:vAlign w:val="center"/>
          </w:tcPr>
          <w:p>
            <w:pPr>
              <w:pStyle w:val="11"/>
            </w:pPr>
            <w:r>
              <w:t>83.06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ind w:firstLine="640"/>
        <w:outlineLvl w:val="2"/>
      </w:pPr>
      <w:bookmarkStart w:id="16" w:name="OLE_LINK1"/>
      <w:r>
        <w:rPr>
          <w:rFonts w:hint="eastAsia" w:asci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eastAsia="方正仿宋_GBK"/>
          <w:color w:val="000000"/>
          <w:sz w:val="28"/>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eastAsia="方正仿宋_GBK"/>
          <w:color w:val="000000"/>
          <w:sz w:val="28"/>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eastAsia="方正仿宋_GBK"/>
          <w:color w:val="000000"/>
          <w:sz w:val="28"/>
        </w:rPr>
        <w:t>县</w:t>
      </w:r>
      <w:r>
        <w:rPr>
          <w:rFonts w:hint="eastAsia" w:eastAsia="方正仿宋_GBK"/>
          <w:color w:val="000000"/>
          <w:sz w:val="28"/>
        </w:rPr>
        <w:t>级部门用财政拨款安排的因公出国（境）费、公务用车购置及运维费和公务接待费。其中，因公出国（境）费反映</w:t>
      </w:r>
      <w:r>
        <w:rPr>
          <w:rFonts w:eastAsia="方正仿宋_GBK"/>
          <w:color w:val="000000"/>
          <w:sz w:val="28"/>
        </w:rPr>
        <w:t>部门</w:t>
      </w:r>
      <w:r>
        <w:rPr>
          <w:rFonts w:hint="eastAsia" w:eastAsia="方正仿宋_GBK"/>
          <w:color w:val="000000"/>
          <w:sz w:val="28"/>
        </w:rPr>
        <w:t>公务出国（境）的住宿费、旅费、伙食补助费、杂费、培训费等支出；公务用车购置及运维费反映</w:t>
      </w:r>
      <w:r>
        <w:rPr>
          <w:rFonts w:eastAsia="方正仿宋_GBK"/>
          <w:color w:val="000000"/>
          <w:sz w:val="28"/>
        </w:rPr>
        <w:t>部门</w:t>
      </w:r>
      <w:r>
        <w:rPr>
          <w:rFonts w:hint="eastAsia" w:eastAsia="方正仿宋_GBK"/>
          <w:color w:val="000000"/>
          <w:sz w:val="28"/>
        </w:rPr>
        <w:t>公务用车购置费及租用费、燃料费、维修费、过路过桥费、保险费、安全奖励费用等支出；公务接待费反映</w:t>
      </w:r>
      <w:r>
        <w:rPr>
          <w:rFonts w:eastAsia="方正仿宋_GBK"/>
          <w:color w:val="000000"/>
          <w:sz w:val="28"/>
        </w:rPr>
        <w:t>部门</w:t>
      </w:r>
      <w:r>
        <w:rPr>
          <w:rFonts w:hint="eastAsia" w:eastAsia="方正仿宋_GBK"/>
          <w:color w:val="000000"/>
          <w:sz w:val="28"/>
        </w:rPr>
        <w:t>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rPr>
          <w:rFonts w:ascii="黑体" w:eastAsia="黑体" w:cs="黑体"/>
          <w:color w:val="000000"/>
          <w:sz w:val="32"/>
          <w:lang w:eastAsia="zh-CN"/>
        </w:rPr>
      </w:pPr>
      <w:bookmarkStart w:id="17" w:name="_Toc_3_3_0000000018"/>
    </w:p>
    <w:p>
      <w:pPr>
        <w:spacing w:before="10" w:after="10"/>
        <w:ind w:firstLine="640"/>
        <w:outlineLvl w:val="2"/>
      </w:pPr>
      <w:r>
        <w:rPr>
          <w:rFonts w:hint="eastAsia" w:ascii="黑体" w:eastAsia="黑体" w:cs="黑体"/>
          <w:color w:val="000000"/>
          <w:sz w:val="32"/>
        </w:rPr>
        <w:t>九、其他需要说明的事项</w:t>
      </w:r>
      <w:bookmarkEnd w:id="17"/>
    </w:p>
    <w:p>
      <w:pPr>
        <w:spacing w:line="500" w:lineRule="exact"/>
        <w:ind w:firstLine="560"/>
      </w:pPr>
      <w:r>
        <w:rPr>
          <w:rFonts w:hint="eastAsia" w:eastAsia="方正仿宋_GBK"/>
          <w:color w:val="000000"/>
          <w:sz w:val="28"/>
        </w:rPr>
        <w:t>我部门无其他需要说明的事项</w:t>
      </w:r>
      <w:r>
        <w:rPr>
          <w:rFonts w:hint="eastAsia" w:eastAsia="方正仿宋_GBK"/>
          <w:color w:val="000000"/>
          <w:sz w:val="28"/>
          <w:lang w:eastAsia="zh-CN"/>
        </w:rPr>
        <w:t>。</w:t>
      </w:r>
      <w:bookmarkEnd w:id="16"/>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50683966">
    <w:nsid w:val="6E4F323E"/>
    <w:multiLevelType w:val="singleLevel"/>
    <w:tmpl w:val="6E4F323E"/>
    <w:lvl w:ilvl="0" w:tentative="1">
      <w:start w:val="2"/>
      <w:numFmt w:val="chineseCounting"/>
      <w:suff w:val="space"/>
      <w:lvlText w:val="第%1部分"/>
      <w:lvlJc w:val="left"/>
      <w:rPr>
        <w:rFonts w:hint="eastAsia"/>
      </w:rPr>
    </w:lvl>
  </w:abstractNum>
  <w:num w:numId="1">
    <w:abstractNumId w:val="18506839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6">
    <w:name w:val="Default Paragraph Font"/>
    <w:semiHidden/>
    <w:unhideWhenUsed/>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8375</Words>
  <Characters>9612</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2023-03-07T11:33:00Z</dcterms:created>
  <dc:creator>Administrator.USER-20180302WP</dc:creator>
  <cp:lastModifiedBy>Lenovo</cp:lastModifiedBy>
  <dcterms:modified xsi:type="dcterms:W3CDTF">2024-05-31T08:53:44Z</dcterms:modified>
  <dc:title>2023年部门预算信息公开目录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36113BDF8384465499B40A0551F8BE61_13</vt:lpwstr>
  </property>
</Properties>
</file>