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7</w:t>
      </w:r>
    </w:p>
    <w:p>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9</w:t>
      </w:r>
    </w:p>
    <w:p>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0</w:t>
      </w:r>
    </w:p>
    <w:p>
      <w:pPr>
        <w:pStyle w:val="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w:t>
      </w:r>
      <w:r>
        <w:rPr>
          <w:rFonts w:hint="eastAsia"/>
          <w:lang w:val="en-US" w:eastAsia="zh-CN"/>
        </w:rPr>
        <w:t>7</w:t>
      </w:r>
      <w:r>
        <w:fldChar w:fldCharType="end"/>
      </w:r>
      <w:r>
        <w:fldChar w:fldCharType="end"/>
      </w:r>
    </w:p>
    <w:p>
      <w:pPr>
        <w:pStyle w:val="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w:t>
      </w:r>
      <w:r>
        <w:rPr>
          <w:rFonts w:hint="eastAsia"/>
          <w:lang w:val="en-US" w:eastAsia="zh-CN"/>
        </w:rPr>
        <w:t>8</w:t>
      </w:r>
      <w:r>
        <w:fldChar w:fldCharType="end"/>
      </w:r>
      <w:r>
        <w:fldChar w:fldCharType="end"/>
      </w:r>
    </w:p>
    <w:p>
      <w:pPr>
        <w:pStyle w:val="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w:t>
      </w:r>
      <w:r>
        <w:rPr>
          <w:rFonts w:hint="eastAsia"/>
          <w:lang w:val="en-US" w:eastAsia="zh-CN"/>
        </w:rPr>
        <w:t>8</w:t>
      </w:r>
      <w:r>
        <w:fldChar w:fldCharType="end"/>
      </w:r>
      <w:r>
        <w:fldChar w:fldCharType="end"/>
      </w:r>
    </w:p>
    <w:p>
      <w:pPr>
        <w:pStyle w:val="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w:t>
      </w:r>
      <w:r>
        <w:rPr>
          <w:rFonts w:hint="eastAsia"/>
          <w:lang w:val="en-US" w:eastAsia="zh-CN"/>
        </w:rPr>
        <w:t>9</w:t>
      </w:r>
      <w:r>
        <w:fldChar w:fldCharType="end"/>
      </w:r>
      <w:r>
        <w:fldChar w:fldCharType="end"/>
      </w:r>
    </w:p>
    <w:p>
      <w:r>
        <w:fldChar w:fldCharType="end"/>
      </w:r>
    </w:p>
    <w:p>
      <w:pPr>
        <w:pStyle w:val="6"/>
        <w:keepNext w:val="0"/>
        <w:keepLines w:val="0"/>
        <w:pageBreakBefore w:val="0"/>
        <w:widowControl/>
        <w:tabs>
          <w:tab w:val="right" w:leader="dot" w:pos="14562"/>
        </w:tabs>
        <w:kinsoku/>
        <w:wordWrap/>
        <w:overflowPunct/>
        <w:topLinePunct w:val="0"/>
        <w:autoSpaceDE/>
        <w:autoSpaceDN/>
        <w:bidi w:val="0"/>
        <w:adjustRightInd/>
        <w:snapToGrid/>
        <w:spacing w:before="0" w:line="500" w:lineRule="exact"/>
        <w:textAlignment w:val="auto"/>
        <w:sectPr>
          <w:headerReference r:id="rId5" w:type="first"/>
          <w:footerReference r:id="rId6" w:type="first"/>
          <w:headerReference r:id="rId3" w:type="default"/>
          <w:headerReference r:id="rId4" w:type="even"/>
          <w:pgSz w:w="16840" w:h="11900" w:orient="landscape"/>
          <w:pgMar w:top="1587" w:right="1134" w:bottom="1361" w:left="1134" w:header="720" w:footer="720" w:gutter="0"/>
          <w:pgNumType w:start="1"/>
          <w:cols w:space="720" w:num="1"/>
        </w:sectPr>
      </w:pPr>
    </w:p>
    <w:p>
      <w:pPr>
        <w:jc w:val="both"/>
      </w:pP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3593.45</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r>
              <w:t>7392.58</w:t>
            </w: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21.94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r>
              <w:t>11095.86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11.72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10986.03</w:t>
            </w:r>
          </w:p>
        </w:tc>
        <w:tc>
          <w:tcPr>
            <w:tcW w:w="4535" w:type="dxa"/>
            <w:vAlign w:val="center"/>
          </w:tcPr>
          <w:p>
            <w:pPr>
              <w:pStyle w:val="14"/>
            </w:pPr>
            <w:r>
              <w:t>本年支出合计</w:t>
            </w:r>
          </w:p>
        </w:tc>
        <w:tc>
          <w:tcPr>
            <w:tcW w:w="2126" w:type="dxa"/>
            <w:vAlign w:val="center"/>
          </w:tcPr>
          <w:p>
            <w:pPr>
              <w:pStyle w:val="15"/>
            </w:pPr>
            <w:r>
              <w:t>11137.03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r>
              <w:t>151.00</w:t>
            </w: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11137.03</w:t>
            </w:r>
          </w:p>
        </w:tc>
        <w:tc>
          <w:tcPr>
            <w:tcW w:w="4535" w:type="dxa"/>
            <w:vAlign w:val="center"/>
          </w:tcPr>
          <w:p>
            <w:pPr>
              <w:pStyle w:val="14"/>
            </w:pPr>
            <w:r>
              <w:t>支出总计</w:t>
            </w:r>
          </w:p>
        </w:tc>
        <w:tc>
          <w:tcPr>
            <w:tcW w:w="2126" w:type="dxa"/>
            <w:vAlign w:val="center"/>
          </w:tcPr>
          <w:p>
            <w:pPr>
              <w:pStyle w:val="15"/>
            </w:pPr>
            <w:r>
              <w:t>11137.03</w:t>
            </w:r>
          </w:p>
        </w:tc>
      </w:tr>
    </w:tbl>
    <w:p>
      <w:pPr>
        <w:sectPr>
          <w:footerReference r:id="rId7" w:type="default"/>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2008"/>
        <w:gridCol w:w="1064"/>
        <w:gridCol w:w="1215"/>
        <w:gridCol w:w="1125"/>
        <w:gridCol w:w="1095"/>
        <w:gridCol w:w="722"/>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59" w:type="dxa"/>
            <w:gridSpan w:val="5"/>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94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3000" w:type="dxa"/>
            <w:gridSpan w:val="2"/>
            <w:vAlign w:val="center"/>
          </w:tcPr>
          <w:p>
            <w:pPr>
              <w:pStyle w:val="10"/>
            </w:pPr>
            <w:r>
              <w:t>功能分类科目</w:t>
            </w:r>
          </w:p>
        </w:tc>
        <w:tc>
          <w:tcPr>
            <w:tcW w:w="1064" w:type="dxa"/>
            <w:vMerge w:val="restart"/>
            <w:vAlign w:val="center"/>
          </w:tcPr>
          <w:p>
            <w:pPr>
              <w:pStyle w:val="10"/>
            </w:pPr>
            <w:r>
              <w:t>合计</w:t>
            </w:r>
          </w:p>
        </w:tc>
        <w:tc>
          <w:tcPr>
            <w:tcW w:w="8693"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2008" w:type="dxa"/>
            <w:vAlign w:val="center"/>
          </w:tcPr>
          <w:p>
            <w:pPr>
              <w:pStyle w:val="10"/>
            </w:pPr>
            <w:r>
              <w:t>科目名称</w:t>
            </w:r>
          </w:p>
        </w:tc>
        <w:tc>
          <w:tcPr>
            <w:tcW w:w="1064" w:type="dxa"/>
            <w:vMerge w:val="continue"/>
          </w:tcPr>
          <w:p/>
        </w:tc>
        <w:tc>
          <w:tcPr>
            <w:tcW w:w="1215" w:type="dxa"/>
            <w:vAlign w:val="center"/>
          </w:tcPr>
          <w:p>
            <w:pPr>
              <w:pStyle w:val="10"/>
            </w:pPr>
            <w:r>
              <w:t>小计</w:t>
            </w:r>
          </w:p>
        </w:tc>
        <w:tc>
          <w:tcPr>
            <w:tcW w:w="1125" w:type="dxa"/>
            <w:vAlign w:val="center"/>
          </w:tcPr>
          <w:p>
            <w:pPr>
              <w:pStyle w:val="10"/>
            </w:pPr>
            <w:r>
              <w:t>财政拨款 收入</w:t>
            </w:r>
          </w:p>
        </w:tc>
        <w:tc>
          <w:tcPr>
            <w:tcW w:w="1095" w:type="dxa"/>
            <w:vAlign w:val="center"/>
          </w:tcPr>
          <w:p>
            <w:pPr>
              <w:pStyle w:val="10"/>
            </w:pPr>
            <w:r>
              <w:t>财政专户 收入</w:t>
            </w:r>
          </w:p>
        </w:tc>
        <w:tc>
          <w:tcPr>
            <w:tcW w:w="722"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2008" w:type="dxa"/>
            <w:vAlign w:val="center"/>
          </w:tcPr>
          <w:p>
            <w:pPr>
              <w:pStyle w:val="10"/>
            </w:pPr>
            <w:r>
              <w:t>2</w:t>
            </w:r>
          </w:p>
        </w:tc>
        <w:tc>
          <w:tcPr>
            <w:tcW w:w="1064" w:type="dxa"/>
            <w:vAlign w:val="center"/>
          </w:tcPr>
          <w:p>
            <w:pPr>
              <w:pStyle w:val="10"/>
            </w:pPr>
            <w:r>
              <w:t>3</w:t>
            </w:r>
          </w:p>
        </w:tc>
        <w:tc>
          <w:tcPr>
            <w:tcW w:w="1215" w:type="dxa"/>
            <w:vAlign w:val="center"/>
          </w:tcPr>
          <w:p>
            <w:pPr>
              <w:pStyle w:val="10"/>
            </w:pPr>
            <w:r>
              <w:t>4</w:t>
            </w:r>
          </w:p>
        </w:tc>
        <w:tc>
          <w:tcPr>
            <w:tcW w:w="1125" w:type="dxa"/>
            <w:vAlign w:val="center"/>
          </w:tcPr>
          <w:p>
            <w:pPr>
              <w:pStyle w:val="10"/>
            </w:pPr>
            <w:r>
              <w:t>5</w:t>
            </w:r>
          </w:p>
        </w:tc>
        <w:tc>
          <w:tcPr>
            <w:tcW w:w="1095" w:type="dxa"/>
            <w:vAlign w:val="center"/>
          </w:tcPr>
          <w:p>
            <w:pPr>
              <w:pStyle w:val="10"/>
            </w:pPr>
            <w:r>
              <w:t>6</w:t>
            </w:r>
          </w:p>
        </w:tc>
        <w:tc>
          <w:tcPr>
            <w:tcW w:w="722"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2008" w:type="dxa"/>
            <w:vAlign w:val="center"/>
          </w:tcPr>
          <w:p>
            <w:pPr>
              <w:pStyle w:val="14"/>
            </w:pPr>
            <w:r>
              <w:t>合计</w:t>
            </w:r>
          </w:p>
        </w:tc>
        <w:tc>
          <w:tcPr>
            <w:tcW w:w="1064" w:type="dxa"/>
            <w:vAlign w:val="center"/>
          </w:tcPr>
          <w:p>
            <w:pPr>
              <w:pStyle w:val="15"/>
            </w:pPr>
            <w:r>
              <w:t>11137.03</w:t>
            </w:r>
          </w:p>
        </w:tc>
        <w:tc>
          <w:tcPr>
            <w:tcW w:w="1215" w:type="dxa"/>
            <w:vAlign w:val="center"/>
          </w:tcPr>
          <w:p>
            <w:pPr>
              <w:pStyle w:val="15"/>
            </w:pPr>
            <w:r>
              <w:t>10986.03</w:t>
            </w:r>
          </w:p>
        </w:tc>
        <w:tc>
          <w:tcPr>
            <w:tcW w:w="1125" w:type="dxa"/>
            <w:vAlign w:val="center"/>
          </w:tcPr>
          <w:p>
            <w:pPr>
              <w:pStyle w:val="15"/>
            </w:pPr>
            <w:r>
              <w:t>10986.03</w:t>
            </w:r>
          </w:p>
        </w:tc>
        <w:tc>
          <w:tcPr>
            <w:tcW w:w="1095" w:type="dxa"/>
            <w:vAlign w:val="center"/>
          </w:tcPr>
          <w:p>
            <w:pPr>
              <w:pStyle w:val="15"/>
            </w:pPr>
          </w:p>
        </w:tc>
        <w:tc>
          <w:tcPr>
            <w:tcW w:w="722"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208</w:t>
            </w:r>
          </w:p>
        </w:tc>
        <w:tc>
          <w:tcPr>
            <w:tcW w:w="2008" w:type="dxa"/>
            <w:vAlign w:val="center"/>
          </w:tcPr>
          <w:p>
            <w:pPr>
              <w:pStyle w:val="12"/>
            </w:pPr>
            <w:r>
              <w:t>社会保障和就业支出</w:t>
            </w:r>
          </w:p>
        </w:tc>
        <w:tc>
          <w:tcPr>
            <w:tcW w:w="1064" w:type="dxa"/>
            <w:vAlign w:val="center"/>
          </w:tcPr>
          <w:p>
            <w:pPr>
              <w:pStyle w:val="13"/>
            </w:pPr>
            <w:r>
              <w:t>21.94</w:t>
            </w:r>
          </w:p>
        </w:tc>
        <w:tc>
          <w:tcPr>
            <w:tcW w:w="1215" w:type="dxa"/>
            <w:vAlign w:val="center"/>
          </w:tcPr>
          <w:p>
            <w:pPr>
              <w:pStyle w:val="13"/>
            </w:pPr>
            <w:r>
              <w:t>21.94</w:t>
            </w:r>
          </w:p>
        </w:tc>
        <w:tc>
          <w:tcPr>
            <w:tcW w:w="1125" w:type="dxa"/>
            <w:vAlign w:val="center"/>
          </w:tcPr>
          <w:p>
            <w:pPr>
              <w:pStyle w:val="13"/>
            </w:pPr>
            <w:r>
              <w:t>21.94</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20805</w:t>
            </w:r>
          </w:p>
        </w:tc>
        <w:tc>
          <w:tcPr>
            <w:tcW w:w="2008" w:type="dxa"/>
            <w:vAlign w:val="center"/>
          </w:tcPr>
          <w:p>
            <w:pPr>
              <w:pStyle w:val="12"/>
            </w:pPr>
            <w:r>
              <w:t>行政事业单位养老支出</w:t>
            </w:r>
          </w:p>
        </w:tc>
        <w:tc>
          <w:tcPr>
            <w:tcW w:w="1064" w:type="dxa"/>
            <w:vAlign w:val="center"/>
          </w:tcPr>
          <w:p>
            <w:pPr>
              <w:pStyle w:val="13"/>
            </w:pPr>
            <w:r>
              <w:t>18.74</w:t>
            </w:r>
          </w:p>
        </w:tc>
        <w:tc>
          <w:tcPr>
            <w:tcW w:w="1215" w:type="dxa"/>
            <w:vAlign w:val="center"/>
          </w:tcPr>
          <w:p>
            <w:pPr>
              <w:pStyle w:val="13"/>
            </w:pPr>
            <w:r>
              <w:t>18.74</w:t>
            </w:r>
          </w:p>
        </w:tc>
        <w:tc>
          <w:tcPr>
            <w:tcW w:w="1125" w:type="dxa"/>
            <w:vAlign w:val="center"/>
          </w:tcPr>
          <w:p>
            <w:pPr>
              <w:pStyle w:val="13"/>
            </w:pPr>
            <w:r>
              <w:t>18.74</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2080505</w:t>
            </w:r>
          </w:p>
        </w:tc>
        <w:tc>
          <w:tcPr>
            <w:tcW w:w="2008" w:type="dxa"/>
            <w:vAlign w:val="center"/>
          </w:tcPr>
          <w:p>
            <w:pPr>
              <w:pStyle w:val="12"/>
            </w:pPr>
            <w:r>
              <w:t>机关事业单位基本养老保险缴费支出</w:t>
            </w:r>
          </w:p>
        </w:tc>
        <w:tc>
          <w:tcPr>
            <w:tcW w:w="1064" w:type="dxa"/>
            <w:vAlign w:val="center"/>
          </w:tcPr>
          <w:p>
            <w:pPr>
              <w:pStyle w:val="13"/>
            </w:pPr>
            <w:r>
              <w:t>18.74</w:t>
            </w:r>
          </w:p>
        </w:tc>
        <w:tc>
          <w:tcPr>
            <w:tcW w:w="1215" w:type="dxa"/>
            <w:vAlign w:val="center"/>
          </w:tcPr>
          <w:p>
            <w:pPr>
              <w:pStyle w:val="13"/>
            </w:pPr>
            <w:r>
              <w:t>18.74</w:t>
            </w:r>
          </w:p>
        </w:tc>
        <w:tc>
          <w:tcPr>
            <w:tcW w:w="1125" w:type="dxa"/>
            <w:vAlign w:val="center"/>
          </w:tcPr>
          <w:p>
            <w:pPr>
              <w:pStyle w:val="13"/>
            </w:pPr>
            <w:r>
              <w:t>18.74</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20808</w:t>
            </w:r>
          </w:p>
        </w:tc>
        <w:tc>
          <w:tcPr>
            <w:tcW w:w="2008" w:type="dxa"/>
            <w:vAlign w:val="center"/>
          </w:tcPr>
          <w:p>
            <w:pPr>
              <w:pStyle w:val="12"/>
            </w:pPr>
            <w:r>
              <w:t>抚恤</w:t>
            </w:r>
          </w:p>
        </w:tc>
        <w:tc>
          <w:tcPr>
            <w:tcW w:w="1064" w:type="dxa"/>
            <w:vAlign w:val="center"/>
          </w:tcPr>
          <w:p>
            <w:pPr>
              <w:pStyle w:val="13"/>
            </w:pPr>
            <w:r>
              <w:t>3.20</w:t>
            </w:r>
          </w:p>
        </w:tc>
        <w:tc>
          <w:tcPr>
            <w:tcW w:w="1215" w:type="dxa"/>
            <w:vAlign w:val="center"/>
          </w:tcPr>
          <w:p>
            <w:pPr>
              <w:pStyle w:val="13"/>
            </w:pPr>
            <w:r>
              <w:t>3.20</w:t>
            </w:r>
          </w:p>
        </w:tc>
        <w:tc>
          <w:tcPr>
            <w:tcW w:w="1125" w:type="dxa"/>
            <w:vAlign w:val="center"/>
          </w:tcPr>
          <w:p>
            <w:pPr>
              <w:pStyle w:val="13"/>
            </w:pPr>
            <w:r>
              <w:t>3.20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2080801</w:t>
            </w:r>
          </w:p>
        </w:tc>
        <w:tc>
          <w:tcPr>
            <w:tcW w:w="2008" w:type="dxa"/>
            <w:vAlign w:val="center"/>
          </w:tcPr>
          <w:p>
            <w:pPr>
              <w:pStyle w:val="12"/>
            </w:pPr>
            <w:r>
              <w:t>死亡抚恤</w:t>
            </w:r>
          </w:p>
        </w:tc>
        <w:tc>
          <w:tcPr>
            <w:tcW w:w="1064" w:type="dxa"/>
            <w:vAlign w:val="center"/>
          </w:tcPr>
          <w:p>
            <w:pPr>
              <w:pStyle w:val="13"/>
            </w:pPr>
            <w:r>
              <w:t>3.20</w:t>
            </w:r>
          </w:p>
        </w:tc>
        <w:tc>
          <w:tcPr>
            <w:tcW w:w="1215" w:type="dxa"/>
            <w:vAlign w:val="center"/>
          </w:tcPr>
          <w:p>
            <w:pPr>
              <w:pStyle w:val="13"/>
            </w:pPr>
            <w:r>
              <w:t>3.20</w:t>
            </w:r>
          </w:p>
        </w:tc>
        <w:tc>
          <w:tcPr>
            <w:tcW w:w="1125" w:type="dxa"/>
            <w:vAlign w:val="center"/>
          </w:tcPr>
          <w:p>
            <w:pPr>
              <w:pStyle w:val="13"/>
            </w:pPr>
            <w:r>
              <w:t>3.20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210</w:t>
            </w:r>
          </w:p>
        </w:tc>
        <w:tc>
          <w:tcPr>
            <w:tcW w:w="2008" w:type="dxa"/>
            <w:vAlign w:val="center"/>
          </w:tcPr>
          <w:p>
            <w:pPr>
              <w:pStyle w:val="12"/>
            </w:pPr>
            <w:r>
              <w:t>卫生健康支出</w:t>
            </w:r>
          </w:p>
        </w:tc>
        <w:tc>
          <w:tcPr>
            <w:tcW w:w="1064" w:type="dxa"/>
            <w:vAlign w:val="center"/>
          </w:tcPr>
          <w:p>
            <w:pPr>
              <w:pStyle w:val="13"/>
            </w:pPr>
            <w:r>
              <w:t>7.51</w:t>
            </w:r>
          </w:p>
        </w:tc>
        <w:tc>
          <w:tcPr>
            <w:tcW w:w="1215" w:type="dxa"/>
            <w:vAlign w:val="center"/>
          </w:tcPr>
          <w:p>
            <w:pPr>
              <w:pStyle w:val="13"/>
            </w:pPr>
            <w:r>
              <w:t>7.51</w:t>
            </w:r>
          </w:p>
        </w:tc>
        <w:tc>
          <w:tcPr>
            <w:tcW w:w="1125" w:type="dxa"/>
            <w:vAlign w:val="center"/>
          </w:tcPr>
          <w:p>
            <w:pPr>
              <w:pStyle w:val="13"/>
            </w:pPr>
            <w:r>
              <w:t>7.51</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21011</w:t>
            </w:r>
          </w:p>
        </w:tc>
        <w:tc>
          <w:tcPr>
            <w:tcW w:w="2008" w:type="dxa"/>
            <w:vAlign w:val="center"/>
          </w:tcPr>
          <w:p>
            <w:pPr>
              <w:pStyle w:val="12"/>
            </w:pPr>
            <w:r>
              <w:t>行政事业单位医疗</w:t>
            </w:r>
          </w:p>
        </w:tc>
        <w:tc>
          <w:tcPr>
            <w:tcW w:w="1064" w:type="dxa"/>
            <w:vAlign w:val="center"/>
          </w:tcPr>
          <w:p>
            <w:pPr>
              <w:pStyle w:val="13"/>
            </w:pPr>
            <w:r>
              <w:t>7.51</w:t>
            </w:r>
          </w:p>
        </w:tc>
        <w:tc>
          <w:tcPr>
            <w:tcW w:w="1215" w:type="dxa"/>
            <w:vAlign w:val="center"/>
          </w:tcPr>
          <w:p>
            <w:pPr>
              <w:pStyle w:val="13"/>
            </w:pPr>
            <w:r>
              <w:t>7.51</w:t>
            </w:r>
          </w:p>
        </w:tc>
        <w:tc>
          <w:tcPr>
            <w:tcW w:w="1125" w:type="dxa"/>
            <w:vAlign w:val="center"/>
          </w:tcPr>
          <w:p>
            <w:pPr>
              <w:pStyle w:val="13"/>
            </w:pPr>
            <w:r>
              <w:t>7.51</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2101101</w:t>
            </w:r>
          </w:p>
        </w:tc>
        <w:tc>
          <w:tcPr>
            <w:tcW w:w="2008" w:type="dxa"/>
            <w:vAlign w:val="center"/>
          </w:tcPr>
          <w:p>
            <w:pPr>
              <w:pStyle w:val="12"/>
            </w:pPr>
            <w:r>
              <w:t>行政单位医疗</w:t>
            </w:r>
          </w:p>
        </w:tc>
        <w:tc>
          <w:tcPr>
            <w:tcW w:w="1064" w:type="dxa"/>
            <w:vAlign w:val="center"/>
          </w:tcPr>
          <w:p>
            <w:pPr>
              <w:pStyle w:val="13"/>
            </w:pPr>
            <w:r>
              <w:t>2.46</w:t>
            </w:r>
          </w:p>
        </w:tc>
        <w:tc>
          <w:tcPr>
            <w:tcW w:w="1215" w:type="dxa"/>
            <w:vAlign w:val="center"/>
          </w:tcPr>
          <w:p>
            <w:pPr>
              <w:pStyle w:val="13"/>
            </w:pPr>
            <w:r>
              <w:t>2.46</w:t>
            </w:r>
          </w:p>
        </w:tc>
        <w:tc>
          <w:tcPr>
            <w:tcW w:w="1125" w:type="dxa"/>
            <w:vAlign w:val="center"/>
          </w:tcPr>
          <w:p>
            <w:pPr>
              <w:pStyle w:val="13"/>
            </w:pPr>
            <w:r>
              <w:t>2.46</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2101102</w:t>
            </w:r>
          </w:p>
        </w:tc>
        <w:tc>
          <w:tcPr>
            <w:tcW w:w="2008" w:type="dxa"/>
            <w:vAlign w:val="center"/>
          </w:tcPr>
          <w:p>
            <w:pPr>
              <w:pStyle w:val="12"/>
            </w:pPr>
            <w:r>
              <w:t>事业单位医疗</w:t>
            </w:r>
          </w:p>
        </w:tc>
        <w:tc>
          <w:tcPr>
            <w:tcW w:w="1064" w:type="dxa"/>
            <w:vAlign w:val="center"/>
          </w:tcPr>
          <w:p>
            <w:pPr>
              <w:pStyle w:val="13"/>
            </w:pPr>
            <w:r>
              <w:t>5.05</w:t>
            </w:r>
          </w:p>
        </w:tc>
        <w:tc>
          <w:tcPr>
            <w:tcW w:w="1215" w:type="dxa"/>
            <w:vAlign w:val="center"/>
          </w:tcPr>
          <w:p>
            <w:pPr>
              <w:pStyle w:val="13"/>
            </w:pPr>
            <w:r>
              <w:t>5.05</w:t>
            </w:r>
          </w:p>
        </w:tc>
        <w:tc>
          <w:tcPr>
            <w:tcW w:w="1125" w:type="dxa"/>
            <w:vAlign w:val="center"/>
          </w:tcPr>
          <w:p>
            <w:pPr>
              <w:pStyle w:val="13"/>
            </w:pPr>
            <w:r>
              <w:t>5.05</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212</w:t>
            </w:r>
          </w:p>
        </w:tc>
        <w:tc>
          <w:tcPr>
            <w:tcW w:w="2008" w:type="dxa"/>
            <w:vAlign w:val="center"/>
          </w:tcPr>
          <w:p>
            <w:pPr>
              <w:pStyle w:val="12"/>
            </w:pPr>
            <w:r>
              <w:t>城乡社区支出</w:t>
            </w:r>
          </w:p>
        </w:tc>
        <w:tc>
          <w:tcPr>
            <w:tcW w:w="1064" w:type="dxa"/>
            <w:vAlign w:val="center"/>
          </w:tcPr>
          <w:p>
            <w:pPr>
              <w:pStyle w:val="13"/>
            </w:pPr>
            <w:r>
              <w:t>11095.86</w:t>
            </w:r>
          </w:p>
        </w:tc>
        <w:tc>
          <w:tcPr>
            <w:tcW w:w="1215" w:type="dxa"/>
            <w:vAlign w:val="center"/>
          </w:tcPr>
          <w:p>
            <w:pPr>
              <w:pStyle w:val="13"/>
            </w:pPr>
            <w:r>
              <w:t>10944.86</w:t>
            </w:r>
          </w:p>
        </w:tc>
        <w:tc>
          <w:tcPr>
            <w:tcW w:w="1125" w:type="dxa"/>
            <w:vAlign w:val="center"/>
          </w:tcPr>
          <w:p>
            <w:pPr>
              <w:pStyle w:val="13"/>
            </w:pPr>
            <w:r>
              <w:t>10944.86</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21201</w:t>
            </w:r>
          </w:p>
        </w:tc>
        <w:tc>
          <w:tcPr>
            <w:tcW w:w="2008" w:type="dxa"/>
            <w:vAlign w:val="center"/>
          </w:tcPr>
          <w:p>
            <w:pPr>
              <w:pStyle w:val="12"/>
            </w:pPr>
            <w:r>
              <w:t>城乡社区管理事务</w:t>
            </w:r>
          </w:p>
        </w:tc>
        <w:tc>
          <w:tcPr>
            <w:tcW w:w="1064" w:type="dxa"/>
            <w:vAlign w:val="center"/>
          </w:tcPr>
          <w:p>
            <w:pPr>
              <w:pStyle w:val="13"/>
            </w:pPr>
            <w:r>
              <w:t>1876.50</w:t>
            </w:r>
          </w:p>
        </w:tc>
        <w:tc>
          <w:tcPr>
            <w:tcW w:w="1215" w:type="dxa"/>
            <w:vAlign w:val="center"/>
          </w:tcPr>
          <w:p>
            <w:pPr>
              <w:pStyle w:val="13"/>
            </w:pPr>
            <w:r>
              <w:t>1876.50</w:t>
            </w:r>
          </w:p>
        </w:tc>
        <w:tc>
          <w:tcPr>
            <w:tcW w:w="1125" w:type="dxa"/>
            <w:vAlign w:val="center"/>
          </w:tcPr>
          <w:p>
            <w:pPr>
              <w:pStyle w:val="13"/>
            </w:pPr>
            <w:r>
              <w:t>1876.50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2120101</w:t>
            </w:r>
          </w:p>
        </w:tc>
        <w:tc>
          <w:tcPr>
            <w:tcW w:w="2008" w:type="dxa"/>
            <w:vAlign w:val="center"/>
          </w:tcPr>
          <w:p>
            <w:pPr>
              <w:pStyle w:val="12"/>
            </w:pPr>
            <w:r>
              <w:t>行政运行</w:t>
            </w:r>
          </w:p>
        </w:tc>
        <w:tc>
          <w:tcPr>
            <w:tcW w:w="1064" w:type="dxa"/>
            <w:vAlign w:val="center"/>
          </w:tcPr>
          <w:p>
            <w:pPr>
              <w:pStyle w:val="13"/>
            </w:pPr>
            <w:r>
              <w:t>52.30</w:t>
            </w:r>
          </w:p>
        </w:tc>
        <w:tc>
          <w:tcPr>
            <w:tcW w:w="1215" w:type="dxa"/>
            <w:vAlign w:val="center"/>
          </w:tcPr>
          <w:p>
            <w:pPr>
              <w:pStyle w:val="13"/>
            </w:pPr>
            <w:r>
              <w:t>52.30</w:t>
            </w:r>
          </w:p>
        </w:tc>
        <w:tc>
          <w:tcPr>
            <w:tcW w:w="1125" w:type="dxa"/>
            <w:vAlign w:val="center"/>
          </w:tcPr>
          <w:p>
            <w:pPr>
              <w:pStyle w:val="13"/>
            </w:pPr>
            <w:r>
              <w:t>52.30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2120104</w:t>
            </w:r>
          </w:p>
        </w:tc>
        <w:tc>
          <w:tcPr>
            <w:tcW w:w="2008" w:type="dxa"/>
            <w:vAlign w:val="center"/>
          </w:tcPr>
          <w:p>
            <w:pPr>
              <w:pStyle w:val="12"/>
            </w:pPr>
            <w:r>
              <w:t>城管执法</w:t>
            </w:r>
          </w:p>
        </w:tc>
        <w:tc>
          <w:tcPr>
            <w:tcW w:w="1064" w:type="dxa"/>
            <w:vAlign w:val="center"/>
          </w:tcPr>
          <w:p>
            <w:pPr>
              <w:pStyle w:val="13"/>
            </w:pPr>
            <w:r>
              <w:t>1713.27</w:t>
            </w:r>
          </w:p>
        </w:tc>
        <w:tc>
          <w:tcPr>
            <w:tcW w:w="1215" w:type="dxa"/>
            <w:vAlign w:val="center"/>
          </w:tcPr>
          <w:p>
            <w:pPr>
              <w:pStyle w:val="13"/>
            </w:pPr>
            <w:r>
              <w:t>1713.27</w:t>
            </w:r>
          </w:p>
        </w:tc>
        <w:tc>
          <w:tcPr>
            <w:tcW w:w="1125" w:type="dxa"/>
            <w:vAlign w:val="center"/>
          </w:tcPr>
          <w:p>
            <w:pPr>
              <w:pStyle w:val="13"/>
            </w:pPr>
            <w:r>
              <w:t>1713.27</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2120199</w:t>
            </w:r>
          </w:p>
        </w:tc>
        <w:tc>
          <w:tcPr>
            <w:tcW w:w="2008" w:type="dxa"/>
            <w:vAlign w:val="center"/>
          </w:tcPr>
          <w:p>
            <w:pPr>
              <w:pStyle w:val="12"/>
            </w:pPr>
            <w:r>
              <w:t>其他城乡社区管理事务支出</w:t>
            </w:r>
          </w:p>
        </w:tc>
        <w:tc>
          <w:tcPr>
            <w:tcW w:w="1064" w:type="dxa"/>
            <w:vAlign w:val="center"/>
          </w:tcPr>
          <w:p>
            <w:pPr>
              <w:pStyle w:val="13"/>
            </w:pPr>
            <w:r>
              <w:t>110.93</w:t>
            </w:r>
          </w:p>
        </w:tc>
        <w:tc>
          <w:tcPr>
            <w:tcW w:w="1215" w:type="dxa"/>
            <w:vAlign w:val="center"/>
          </w:tcPr>
          <w:p>
            <w:pPr>
              <w:pStyle w:val="13"/>
            </w:pPr>
            <w:r>
              <w:t>110.93</w:t>
            </w:r>
          </w:p>
        </w:tc>
        <w:tc>
          <w:tcPr>
            <w:tcW w:w="1125" w:type="dxa"/>
            <w:vAlign w:val="center"/>
          </w:tcPr>
          <w:p>
            <w:pPr>
              <w:pStyle w:val="13"/>
            </w:pPr>
            <w:r>
              <w:t>110.93</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21203</w:t>
            </w:r>
          </w:p>
        </w:tc>
        <w:tc>
          <w:tcPr>
            <w:tcW w:w="2008" w:type="dxa"/>
            <w:vAlign w:val="center"/>
          </w:tcPr>
          <w:p>
            <w:pPr>
              <w:pStyle w:val="12"/>
            </w:pPr>
            <w:r>
              <w:t>城乡社区公共设施</w:t>
            </w:r>
          </w:p>
        </w:tc>
        <w:tc>
          <w:tcPr>
            <w:tcW w:w="1064" w:type="dxa"/>
            <w:vAlign w:val="center"/>
          </w:tcPr>
          <w:p>
            <w:pPr>
              <w:pStyle w:val="13"/>
            </w:pPr>
            <w:r>
              <w:t>416.48</w:t>
            </w:r>
          </w:p>
        </w:tc>
        <w:tc>
          <w:tcPr>
            <w:tcW w:w="1215" w:type="dxa"/>
            <w:vAlign w:val="center"/>
          </w:tcPr>
          <w:p>
            <w:pPr>
              <w:pStyle w:val="13"/>
            </w:pPr>
            <w:r>
              <w:t>265.48</w:t>
            </w:r>
          </w:p>
        </w:tc>
        <w:tc>
          <w:tcPr>
            <w:tcW w:w="1125" w:type="dxa"/>
            <w:vAlign w:val="center"/>
          </w:tcPr>
          <w:p>
            <w:pPr>
              <w:pStyle w:val="13"/>
            </w:pPr>
            <w:r>
              <w:t>265.48</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2"/>
            </w:pPr>
            <w:r>
              <w:t>2120303</w:t>
            </w:r>
          </w:p>
        </w:tc>
        <w:tc>
          <w:tcPr>
            <w:tcW w:w="2008" w:type="dxa"/>
            <w:vAlign w:val="center"/>
          </w:tcPr>
          <w:p>
            <w:pPr>
              <w:pStyle w:val="12"/>
            </w:pPr>
            <w:r>
              <w:t>小城镇基础设施建设</w:t>
            </w:r>
          </w:p>
        </w:tc>
        <w:tc>
          <w:tcPr>
            <w:tcW w:w="1064" w:type="dxa"/>
            <w:vAlign w:val="center"/>
          </w:tcPr>
          <w:p>
            <w:pPr>
              <w:pStyle w:val="13"/>
            </w:pPr>
            <w:r>
              <w:t>163.80</w:t>
            </w:r>
          </w:p>
        </w:tc>
        <w:tc>
          <w:tcPr>
            <w:tcW w:w="1215" w:type="dxa"/>
            <w:vAlign w:val="center"/>
          </w:tcPr>
          <w:p>
            <w:pPr>
              <w:pStyle w:val="13"/>
            </w:pPr>
            <w:r>
              <w:t>12.80</w:t>
            </w:r>
          </w:p>
        </w:tc>
        <w:tc>
          <w:tcPr>
            <w:tcW w:w="1125" w:type="dxa"/>
            <w:vAlign w:val="center"/>
          </w:tcPr>
          <w:p>
            <w:pPr>
              <w:pStyle w:val="13"/>
            </w:pPr>
            <w:r>
              <w:t>12.80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2"/>
            </w:pPr>
            <w:r>
              <w:t>2120399</w:t>
            </w:r>
          </w:p>
        </w:tc>
        <w:tc>
          <w:tcPr>
            <w:tcW w:w="2008" w:type="dxa"/>
            <w:vAlign w:val="center"/>
          </w:tcPr>
          <w:p>
            <w:pPr>
              <w:pStyle w:val="12"/>
            </w:pPr>
            <w:r>
              <w:t>其他城乡社区公共设施支出</w:t>
            </w:r>
          </w:p>
        </w:tc>
        <w:tc>
          <w:tcPr>
            <w:tcW w:w="1064" w:type="dxa"/>
            <w:vAlign w:val="center"/>
          </w:tcPr>
          <w:p>
            <w:pPr>
              <w:pStyle w:val="13"/>
            </w:pPr>
            <w:r>
              <w:t>252.68</w:t>
            </w:r>
          </w:p>
        </w:tc>
        <w:tc>
          <w:tcPr>
            <w:tcW w:w="1215" w:type="dxa"/>
            <w:vAlign w:val="center"/>
          </w:tcPr>
          <w:p>
            <w:pPr>
              <w:pStyle w:val="13"/>
            </w:pPr>
            <w:r>
              <w:t>252.68</w:t>
            </w:r>
          </w:p>
        </w:tc>
        <w:tc>
          <w:tcPr>
            <w:tcW w:w="1125" w:type="dxa"/>
            <w:vAlign w:val="center"/>
          </w:tcPr>
          <w:p>
            <w:pPr>
              <w:pStyle w:val="13"/>
            </w:pPr>
            <w:r>
              <w:t>252.68</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2"/>
            </w:pPr>
            <w:r>
              <w:t>21205</w:t>
            </w:r>
          </w:p>
        </w:tc>
        <w:tc>
          <w:tcPr>
            <w:tcW w:w="2008" w:type="dxa"/>
            <w:vAlign w:val="center"/>
          </w:tcPr>
          <w:p>
            <w:pPr>
              <w:pStyle w:val="12"/>
            </w:pPr>
            <w:r>
              <w:t>城乡社区环境卫生</w:t>
            </w:r>
          </w:p>
        </w:tc>
        <w:tc>
          <w:tcPr>
            <w:tcW w:w="1064" w:type="dxa"/>
            <w:vAlign w:val="center"/>
          </w:tcPr>
          <w:p>
            <w:pPr>
              <w:pStyle w:val="13"/>
            </w:pPr>
            <w:r>
              <w:t>1410.30</w:t>
            </w:r>
          </w:p>
        </w:tc>
        <w:tc>
          <w:tcPr>
            <w:tcW w:w="1215" w:type="dxa"/>
            <w:vAlign w:val="center"/>
          </w:tcPr>
          <w:p>
            <w:pPr>
              <w:pStyle w:val="13"/>
            </w:pPr>
            <w:r>
              <w:t>1410.30</w:t>
            </w:r>
          </w:p>
        </w:tc>
        <w:tc>
          <w:tcPr>
            <w:tcW w:w="1125" w:type="dxa"/>
            <w:vAlign w:val="center"/>
          </w:tcPr>
          <w:p>
            <w:pPr>
              <w:pStyle w:val="13"/>
            </w:pPr>
            <w:r>
              <w:t>1410.30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2"/>
            </w:pPr>
            <w:r>
              <w:t>2120501</w:t>
            </w:r>
          </w:p>
        </w:tc>
        <w:tc>
          <w:tcPr>
            <w:tcW w:w="2008" w:type="dxa"/>
            <w:vAlign w:val="center"/>
          </w:tcPr>
          <w:p>
            <w:pPr>
              <w:pStyle w:val="12"/>
            </w:pPr>
            <w:r>
              <w:t>城乡社区环境卫生</w:t>
            </w:r>
          </w:p>
        </w:tc>
        <w:tc>
          <w:tcPr>
            <w:tcW w:w="1064" w:type="dxa"/>
            <w:vAlign w:val="center"/>
          </w:tcPr>
          <w:p>
            <w:pPr>
              <w:pStyle w:val="13"/>
            </w:pPr>
            <w:r>
              <w:t>1410.30</w:t>
            </w:r>
          </w:p>
        </w:tc>
        <w:tc>
          <w:tcPr>
            <w:tcW w:w="1215" w:type="dxa"/>
            <w:vAlign w:val="center"/>
          </w:tcPr>
          <w:p>
            <w:pPr>
              <w:pStyle w:val="13"/>
            </w:pPr>
            <w:r>
              <w:t>1410.30</w:t>
            </w:r>
          </w:p>
        </w:tc>
        <w:tc>
          <w:tcPr>
            <w:tcW w:w="1125" w:type="dxa"/>
            <w:vAlign w:val="center"/>
          </w:tcPr>
          <w:p>
            <w:pPr>
              <w:pStyle w:val="13"/>
            </w:pPr>
            <w:r>
              <w:t>1410.30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2"/>
            </w:pPr>
            <w:r>
              <w:t>21208</w:t>
            </w:r>
          </w:p>
        </w:tc>
        <w:tc>
          <w:tcPr>
            <w:tcW w:w="2008" w:type="dxa"/>
            <w:vAlign w:val="center"/>
          </w:tcPr>
          <w:p>
            <w:pPr>
              <w:pStyle w:val="12"/>
            </w:pPr>
            <w:r>
              <w:t>国有土地使用权出让收入安排的支出</w:t>
            </w:r>
          </w:p>
        </w:tc>
        <w:tc>
          <w:tcPr>
            <w:tcW w:w="1064" w:type="dxa"/>
            <w:vAlign w:val="center"/>
          </w:tcPr>
          <w:p>
            <w:pPr>
              <w:pStyle w:val="13"/>
            </w:pPr>
            <w:r>
              <w:t>6000.00</w:t>
            </w:r>
          </w:p>
        </w:tc>
        <w:tc>
          <w:tcPr>
            <w:tcW w:w="1215" w:type="dxa"/>
            <w:vAlign w:val="center"/>
          </w:tcPr>
          <w:p>
            <w:pPr>
              <w:pStyle w:val="13"/>
            </w:pPr>
            <w:r>
              <w:t>6000.00</w:t>
            </w:r>
          </w:p>
        </w:tc>
        <w:tc>
          <w:tcPr>
            <w:tcW w:w="1125" w:type="dxa"/>
            <w:vAlign w:val="center"/>
          </w:tcPr>
          <w:p>
            <w:pPr>
              <w:pStyle w:val="13"/>
            </w:pPr>
            <w:r>
              <w:t>6000.00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2"/>
            </w:pPr>
            <w:r>
              <w:t>2120803</w:t>
            </w:r>
          </w:p>
        </w:tc>
        <w:tc>
          <w:tcPr>
            <w:tcW w:w="2008" w:type="dxa"/>
            <w:vAlign w:val="center"/>
          </w:tcPr>
          <w:p>
            <w:pPr>
              <w:pStyle w:val="12"/>
            </w:pPr>
            <w:r>
              <w:t>城市建设支出</w:t>
            </w:r>
          </w:p>
        </w:tc>
        <w:tc>
          <w:tcPr>
            <w:tcW w:w="1064" w:type="dxa"/>
            <w:vAlign w:val="center"/>
          </w:tcPr>
          <w:p>
            <w:pPr>
              <w:pStyle w:val="13"/>
            </w:pPr>
            <w:r>
              <w:t>4200.00</w:t>
            </w:r>
          </w:p>
        </w:tc>
        <w:tc>
          <w:tcPr>
            <w:tcW w:w="1215" w:type="dxa"/>
            <w:vAlign w:val="center"/>
          </w:tcPr>
          <w:p>
            <w:pPr>
              <w:pStyle w:val="13"/>
            </w:pPr>
            <w:r>
              <w:t>4200.00</w:t>
            </w:r>
          </w:p>
        </w:tc>
        <w:tc>
          <w:tcPr>
            <w:tcW w:w="1125" w:type="dxa"/>
            <w:vAlign w:val="center"/>
          </w:tcPr>
          <w:p>
            <w:pPr>
              <w:pStyle w:val="13"/>
            </w:pPr>
            <w:r>
              <w:t>4200.00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2"/>
            </w:pPr>
            <w:r>
              <w:t>2120816</w:t>
            </w:r>
          </w:p>
        </w:tc>
        <w:tc>
          <w:tcPr>
            <w:tcW w:w="2008" w:type="dxa"/>
            <w:vAlign w:val="center"/>
          </w:tcPr>
          <w:p>
            <w:pPr>
              <w:pStyle w:val="12"/>
            </w:pPr>
            <w:r>
              <w:t>农业农村生态环境支出</w:t>
            </w:r>
          </w:p>
        </w:tc>
        <w:tc>
          <w:tcPr>
            <w:tcW w:w="1064" w:type="dxa"/>
            <w:vAlign w:val="center"/>
          </w:tcPr>
          <w:p>
            <w:pPr>
              <w:pStyle w:val="13"/>
            </w:pPr>
            <w:r>
              <w:t>1800.00</w:t>
            </w:r>
          </w:p>
        </w:tc>
        <w:tc>
          <w:tcPr>
            <w:tcW w:w="1215" w:type="dxa"/>
            <w:vAlign w:val="center"/>
          </w:tcPr>
          <w:p>
            <w:pPr>
              <w:pStyle w:val="13"/>
            </w:pPr>
            <w:r>
              <w:t>1800.00</w:t>
            </w:r>
          </w:p>
        </w:tc>
        <w:tc>
          <w:tcPr>
            <w:tcW w:w="1125" w:type="dxa"/>
            <w:vAlign w:val="center"/>
          </w:tcPr>
          <w:p>
            <w:pPr>
              <w:pStyle w:val="13"/>
            </w:pPr>
            <w:r>
              <w:t>1800.00</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2"/>
            </w:pPr>
            <w:r>
              <w:t>21213</w:t>
            </w:r>
          </w:p>
        </w:tc>
        <w:tc>
          <w:tcPr>
            <w:tcW w:w="2008" w:type="dxa"/>
            <w:vAlign w:val="center"/>
          </w:tcPr>
          <w:p>
            <w:pPr>
              <w:pStyle w:val="12"/>
            </w:pPr>
            <w:r>
              <w:t>城市基础设施配套费安排的支出</w:t>
            </w:r>
          </w:p>
        </w:tc>
        <w:tc>
          <w:tcPr>
            <w:tcW w:w="1064" w:type="dxa"/>
            <w:vAlign w:val="center"/>
          </w:tcPr>
          <w:p>
            <w:pPr>
              <w:pStyle w:val="13"/>
            </w:pPr>
            <w:r>
              <w:t>1392.58</w:t>
            </w:r>
          </w:p>
        </w:tc>
        <w:tc>
          <w:tcPr>
            <w:tcW w:w="1215" w:type="dxa"/>
            <w:vAlign w:val="center"/>
          </w:tcPr>
          <w:p>
            <w:pPr>
              <w:pStyle w:val="13"/>
            </w:pPr>
            <w:r>
              <w:t>1392.58</w:t>
            </w:r>
          </w:p>
        </w:tc>
        <w:tc>
          <w:tcPr>
            <w:tcW w:w="1125" w:type="dxa"/>
            <w:vAlign w:val="center"/>
          </w:tcPr>
          <w:p>
            <w:pPr>
              <w:pStyle w:val="13"/>
            </w:pPr>
            <w:r>
              <w:t>1392.58</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2"/>
            </w:pPr>
            <w:r>
              <w:t>2121302</w:t>
            </w:r>
          </w:p>
        </w:tc>
        <w:tc>
          <w:tcPr>
            <w:tcW w:w="2008" w:type="dxa"/>
            <w:vAlign w:val="center"/>
          </w:tcPr>
          <w:p>
            <w:pPr>
              <w:pStyle w:val="12"/>
            </w:pPr>
            <w:r>
              <w:t>城市环境卫生</w:t>
            </w:r>
          </w:p>
        </w:tc>
        <w:tc>
          <w:tcPr>
            <w:tcW w:w="1064" w:type="dxa"/>
            <w:vAlign w:val="center"/>
          </w:tcPr>
          <w:p>
            <w:pPr>
              <w:pStyle w:val="13"/>
            </w:pPr>
            <w:r>
              <w:t>1284.89</w:t>
            </w:r>
          </w:p>
        </w:tc>
        <w:tc>
          <w:tcPr>
            <w:tcW w:w="1215" w:type="dxa"/>
            <w:vAlign w:val="center"/>
          </w:tcPr>
          <w:p>
            <w:pPr>
              <w:pStyle w:val="13"/>
            </w:pPr>
            <w:r>
              <w:t>1284.89</w:t>
            </w:r>
          </w:p>
        </w:tc>
        <w:tc>
          <w:tcPr>
            <w:tcW w:w="1125" w:type="dxa"/>
            <w:vAlign w:val="center"/>
          </w:tcPr>
          <w:p>
            <w:pPr>
              <w:pStyle w:val="13"/>
            </w:pPr>
            <w:r>
              <w:t>1284.89</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2"/>
            </w:pPr>
            <w:r>
              <w:t>2121399</w:t>
            </w:r>
          </w:p>
        </w:tc>
        <w:tc>
          <w:tcPr>
            <w:tcW w:w="2008" w:type="dxa"/>
            <w:vAlign w:val="center"/>
          </w:tcPr>
          <w:p>
            <w:pPr>
              <w:pStyle w:val="12"/>
            </w:pPr>
            <w:r>
              <w:t>其他城市基础设施配套费安排的支出</w:t>
            </w:r>
          </w:p>
        </w:tc>
        <w:tc>
          <w:tcPr>
            <w:tcW w:w="1064" w:type="dxa"/>
            <w:vAlign w:val="center"/>
          </w:tcPr>
          <w:p>
            <w:pPr>
              <w:pStyle w:val="13"/>
            </w:pPr>
            <w:r>
              <w:t>107.69</w:t>
            </w:r>
          </w:p>
        </w:tc>
        <w:tc>
          <w:tcPr>
            <w:tcW w:w="1215" w:type="dxa"/>
            <w:vAlign w:val="center"/>
          </w:tcPr>
          <w:p>
            <w:pPr>
              <w:pStyle w:val="13"/>
            </w:pPr>
            <w:r>
              <w:t>107.69</w:t>
            </w:r>
          </w:p>
        </w:tc>
        <w:tc>
          <w:tcPr>
            <w:tcW w:w="1125" w:type="dxa"/>
            <w:vAlign w:val="center"/>
          </w:tcPr>
          <w:p>
            <w:pPr>
              <w:pStyle w:val="13"/>
            </w:pPr>
            <w:r>
              <w:t>107.69</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2"/>
            </w:pPr>
            <w:r>
              <w:t>221</w:t>
            </w:r>
          </w:p>
        </w:tc>
        <w:tc>
          <w:tcPr>
            <w:tcW w:w="2008" w:type="dxa"/>
            <w:vAlign w:val="center"/>
          </w:tcPr>
          <w:p>
            <w:pPr>
              <w:pStyle w:val="12"/>
            </w:pPr>
            <w:r>
              <w:t>住房保障支出</w:t>
            </w:r>
          </w:p>
        </w:tc>
        <w:tc>
          <w:tcPr>
            <w:tcW w:w="1064" w:type="dxa"/>
            <w:vAlign w:val="center"/>
          </w:tcPr>
          <w:p>
            <w:pPr>
              <w:pStyle w:val="13"/>
            </w:pPr>
            <w:r>
              <w:t>11.72</w:t>
            </w:r>
          </w:p>
        </w:tc>
        <w:tc>
          <w:tcPr>
            <w:tcW w:w="1215" w:type="dxa"/>
            <w:vAlign w:val="center"/>
          </w:tcPr>
          <w:p>
            <w:pPr>
              <w:pStyle w:val="13"/>
            </w:pPr>
            <w:r>
              <w:t>11.72</w:t>
            </w:r>
          </w:p>
        </w:tc>
        <w:tc>
          <w:tcPr>
            <w:tcW w:w="1125" w:type="dxa"/>
            <w:vAlign w:val="center"/>
          </w:tcPr>
          <w:p>
            <w:pPr>
              <w:pStyle w:val="13"/>
            </w:pPr>
            <w:r>
              <w:t>11.72</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2"/>
            </w:pPr>
            <w:r>
              <w:t>22102</w:t>
            </w:r>
          </w:p>
        </w:tc>
        <w:tc>
          <w:tcPr>
            <w:tcW w:w="2008" w:type="dxa"/>
            <w:vAlign w:val="center"/>
          </w:tcPr>
          <w:p>
            <w:pPr>
              <w:pStyle w:val="12"/>
            </w:pPr>
            <w:r>
              <w:t>住房改革支出</w:t>
            </w:r>
          </w:p>
        </w:tc>
        <w:tc>
          <w:tcPr>
            <w:tcW w:w="1064" w:type="dxa"/>
            <w:vAlign w:val="center"/>
          </w:tcPr>
          <w:p>
            <w:pPr>
              <w:pStyle w:val="13"/>
            </w:pPr>
            <w:r>
              <w:t>11.72</w:t>
            </w:r>
          </w:p>
        </w:tc>
        <w:tc>
          <w:tcPr>
            <w:tcW w:w="1215" w:type="dxa"/>
            <w:vAlign w:val="center"/>
          </w:tcPr>
          <w:p>
            <w:pPr>
              <w:pStyle w:val="13"/>
            </w:pPr>
            <w:r>
              <w:t>11.72</w:t>
            </w:r>
          </w:p>
        </w:tc>
        <w:tc>
          <w:tcPr>
            <w:tcW w:w="1125" w:type="dxa"/>
            <w:vAlign w:val="center"/>
          </w:tcPr>
          <w:p>
            <w:pPr>
              <w:pStyle w:val="13"/>
            </w:pPr>
            <w:r>
              <w:t>11.72</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2"/>
            </w:pPr>
            <w:r>
              <w:t>2210201</w:t>
            </w:r>
          </w:p>
        </w:tc>
        <w:tc>
          <w:tcPr>
            <w:tcW w:w="2008" w:type="dxa"/>
            <w:vAlign w:val="center"/>
          </w:tcPr>
          <w:p>
            <w:pPr>
              <w:pStyle w:val="12"/>
            </w:pPr>
            <w:r>
              <w:t>住房公积金</w:t>
            </w:r>
          </w:p>
        </w:tc>
        <w:tc>
          <w:tcPr>
            <w:tcW w:w="1064" w:type="dxa"/>
            <w:vAlign w:val="center"/>
          </w:tcPr>
          <w:p>
            <w:pPr>
              <w:pStyle w:val="13"/>
            </w:pPr>
            <w:r>
              <w:t>11.72</w:t>
            </w:r>
          </w:p>
        </w:tc>
        <w:tc>
          <w:tcPr>
            <w:tcW w:w="1215" w:type="dxa"/>
            <w:vAlign w:val="center"/>
          </w:tcPr>
          <w:p>
            <w:pPr>
              <w:pStyle w:val="13"/>
            </w:pPr>
            <w:r>
              <w:t>11.72</w:t>
            </w:r>
          </w:p>
        </w:tc>
        <w:tc>
          <w:tcPr>
            <w:tcW w:w="1125" w:type="dxa"/>
            <w:vAlign w:val="center"/>
          </w:tcPr>
          <w:p>
            <w:pPr>
              <w:pStyle w:val="13"/>
            </w:pPr>
            <w:r>
              <w:t>11.72</w:t>
            </w:r>
          </w:p>
        </w:tc>
        <w:tc>
          <w:tcPr>
            <w:tcW w:w="1095" w:type="dxa"/>
            <w:vAlign w:val="center"/>
          </w:tcPr>
          <w:p>
            <w:pPr>
              <w:pStyle w:val="13"/>
            </w:pPr>
          </w:p>
        </w:tc>
        <w:tc>
          <w:tcPr>
            <w:tcW w:w="72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11137.03</w:t>
            </w:r>
          </w:p>
        </w:tc>
        <w:tc>
          <w:tcPr>
            <w:tcW w:w="1361" w:type="dxa"/>
            <w:vAlign w:val="center"/>
          </w:tcPr>
          <w:p>
            <w:pPr>
              <w:pStyle w:val="15"/>
            </w:pPr>
            <w:r>
              <w:t>1762.67</w:t>
            </w:r>
          </w:p>
        </w:tc>
        <w:tc>
          <w:tcPr>
            <w:tcW w:w="1361" w:type="dxa"/>
            <w:vAlign w:val="center"/>
          </w:tcPr>
          <w:p>
            <w:pPr>
              <w:pStyle w:val="15"/>
            </w:pPr>
            <w:r>
              <w:t>9374.36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21.94</w:t>
            </w:r>
          </w:p>
        </w:tc>
        <w:tc>
          <w:tcPr>
            <w:tcW w:w="1361" w:type="dxa"/>
            <w:vAlign w:val="center"/>
          </w:tcPr>
          <w:p>
            <w:pPr>
              <w:pStyle w:val="13"/>
            </w:pPr>
            <w:r>
              <w:t>21.94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18.74</w:t>
            </w:r>
          </w:p>
        </w:tc>
        <w:tc>
          <w:tcPr>
            <w:tcW w:w="1361" w:type="dxa"/>
            <w:vAlign w:val="center"/>
          </w:tcPr>
          <w:p>
            <w:pPr>
              <w:pStyle w:val="13"/>
            </w:pPr>
            <w:r>
              <w:t>18.74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18.74</w:t>
            </w:r>
          </w:p>
        </w:tc>
        <w:tc>
          <w:tcPr>
            <w:tcW w:w="1361" w:type="dxa"/>
            <w:vAlign w:val="center"/>
          </w:tcPr>
          <w:p>
            <w:pPr>
              <w:pStyle w:val="13"/>
            </w:pPr>
            <w:r>
              <w:t>18.74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3"/>
            </w:pPr>
            <w:r>
              <w:t>3.20</w:t>
            </w:r>
          </w:p>
        </w:tc>
        <w:tc>
          <w:tcPr>
            <w:tcW w:w="1361" w:type="dxa"/>
            <w:vAlign w:val="center"/>
          </w:tcPr>
          <w:p>
            <w:pPr>
              <w:pStyle w:val="13"/>
            </w:pPr>
            <w:r>
              <w:t>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3"/>
            </w:pPr>
            <w:r>
              <w:t>3.20</w:t>
            </w:r>
          </w:p>
        </w:tc>
        <w:tc>
          <w:tcPr>
            <w:tcW w:w="1361" w:type="dxa"/>
            <w:vAlign w:val="center"/>
          </w:tcPr>
          <w:p>
            <w:pPr>
              <w:pStyle w:val="13"/>
            </w:pPr>
            <w:r>
              <w:t>3.20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7.51</w:t>
            </w:r>
          </w:p>
        </w:tc>
        <w:tc>
          <w:tcPr>
            <w:tcW w:w="1361" w:type="dxa"/>
            <w:vAlign w:val="center"/>
          </w:tcPr>
          <w:p>
            <w:pPr>
              <w:pStyle w:val="13"/>
            </w:pPr>
            <w:r>
              <w:t>7.51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7.51</w:t>
            </w:r>
          </w:p>
        </w:tc>
        <w:tc>
          <w:tcPr>
            <w:tcW w:w="1361" w:type="dxa"/>
            <w:vAlign w:val="center"/>
          </w:tcPr>
          <w:p>
            <w:pPr>
              <w:pStyle w:val="13"/>
            </w:pPr>
            <w:r>
              <w:t>7.51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3"/>
            </w:pPr>
            <w:r>
              <w:t>2.46</w:t>
            </w:r>
          </w:p>
        </w:tc>
        <w:tc>
          <w:tcPr>
            <w:tcW w:w="1361" w:type="dxa"/>
            <w:vAlign w:val="center"/>
          </w:tcPr>
          <w:p>
            <w:pPr>
              <w:pStyle w:val="13"/>
            </w:pPr>
            <w:r>
              <w:t>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3"/>
            </w:pPr>
            <w:r>
              <w:t>5.05</w:t>
            </w:r>
          </w:p>
        </w:tc>
        <w:tc>
          <w:tcPr>
            <w:tcW w:w="1361" w:type="dxa"/>
            <w:vAlign w:val="center"/>
          </w:tcPr>
          <w:p>
            <w:pPr>
              <w:pStyle w:val="13"/>
            </w:pPr>
            <w:r>
              <w:t>5.05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3"/>
            </w:pPr>
            <w:r>
              <w:t>11095.86</w:t>
            </w:r>
          </w:p>
        </w:tc>
        <w:tc>
          <w:tcPr>
            <w:tcW w:w="1361" w:type="dxa"/>
            <w:vAlign w:val="center"/>
          </w:tcPr>
          <w:p>
            <w:pPr>
              <w:pStyle w:val="13"/>
            </w:pPr>
            <w:r>
              <w:t>1721.50</w:t>
            </w:r>
          </w:p>
        </w:tc>
        <w:tc>
          <w:tcPr>
            <w:tcW w:w="1361" w:type="dxa"/>
            <w:vAlign w:val="center"/>
          </w:tcPr>
          <w:p>
            <w:pPr>
              <w:pStyle w:val="13"/>
            </w:pPr>
            <w:r>
              <w:t>9374.36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3"/>
            </w:pPr>
            <w:r>
              <w:t>1876.50</w:t>
            </w:r>
          </w:p>
        </w:tc>
        <w:tc>
          <w:tcPr>
            <w:tcW w:w="1361" w:type="dxa"/>
            <w:vAlign w:val="center"/>
          </w:tcPr>
          <w:p>
            <w:pPr>
              <w:pStyle w:val="13"/>
            </w:pPr>
            <w:r>
              <w:t>1721.50</w:t>
            </w:r>
          </w:p>
        </w:tc>
        <w:tc>
          <w:tcPr>
            <w:tcW w:w="1361" w:type="dxa"/>
            <w:vAlign w:val="center"/>
          </w:tcPr>
          <w:p>
            <w:pPr>
              <w:pStyle w:val="13"/>
            </w:pPr>
            <w:r>
              <w:t>155.00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3"/>
            </w:pPr>
            <w:r>
              <w:t>52.30</w:t>
            </w:r>
          </w:p>
        </w:tc>
        <w:tc>
          <w:tcPr>
            <w:tcW w:w="1361" w:type="dxa"/>
            <w:vAlign w:val="center"/>
          </w:tcPr>
          <w:p>
            <w:pPr>
              <w:pStyle w:val="13"/>
            </w:pPr>
            <w:r>
              <w:t>52.30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3"/>
            </w:pPr>
            <w:r>
              <w:t>1713.27</w:t>
            </w:r>
          </w:p>
        </w:tc>
        <w:tc>
          <w:tcPr>
            <w:tcW w:w="1361" w:type="dxa"/>
            <w:vAlign w:val="center"/>
          </w:tcPr>
          <w:p>
            <w:pPr>
              <w:pStyle w:val="13"/>
            </w:pPr>
            <w:r>
              <w:t>1558.27</w:t>
            </w:r>
          </w:p>
        </w:tc>
        <w:tc>
          <w:tcPr>
            <w:tcW w:w="1361" w:type="dxa"/>
            <w:vAlign w:val="center"/>
          </w:tcPr>
          <w:p>
            <w:pPr>
              <w:pStyle w:val="13"/>
            </w:pPr>
            <w:r>
              <w:t>155.00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3"/>
            </w:pPr>
            <w:r>
              <w:t>110.93</w:t>
            </w:r>
          </w:p>
        </w:tc>
        <w:tc>
          <w:tcPr>
            <w:tcW w:w="1361" w:type="dxa"/>
            <w:vAlign w:val="center"/>
          </w:tcPr>
          <w:p>
            <w:pPr>
              <w:pStyle w:val="13"/>
            </w:pPr>
            <w:r>
              <w:t>110.93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3"/>
            </w:pPr>
            <w:r>
              <w:t>416.48</w:t>
            </w:r>
          </w:p>
        </w:tc>
        <w:tc>
          <w:tcPr>
            <w:tcW w:w="1361" w:type="dxa"/>
            <w:vAlign w:val="center"/>
          </w:tcPr>
          <w:p>
            <w:pPr>
              <w:pStyle w:val="13"/>
            </w:pPr>
          </w:p>
        </w:tc>
        <w:tc>
          <w:tcPr>
            <w:tcW w:w="1361" w:type="dxa"/>
            <w:vAlign w:val="center"/>
          </w:tcPr>
          <w:p>
            <w:pPr>
              <w:pStyle w:val="13"/>
            </w:pPr>
            <w:r>
              <w:t>416.48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3"/>
            </w:pPr>
            <w:r>
              <w:t>163.80</w:t>
            </w:r>
          </w:p>
        </w:tc>
        <w:tc>
          <w:tcPr>
            <w:tcW w:w="1361" w:type="dxa"/>
            <w:vAlign w:val="center"/>
          </w:tcPr>
          <w:p>
            <w:pPr>
              <w:pStyle w:val="13"/>
            </w:pPr>
          </w:p>
        </w:tc>
        <w:tc>
          <w:tcPr>
            <w:tcW w:w="1361" w:type="dxa"/>
            <w:vAlign w:val="center"/>
          </w:tcPr>
          <w:p>
            <w:pPr>
              <w:pStyle w:val="13"/>
            </w:pPr>
            <w:r>
              <w:t>163.80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3"/>
            </w:pPr>
            <w:r>
              <w:t>252.68</w:t>
            </w:r>
          </w:p>
        </w:tc>
        <w:tc>
          <w:tcPr>
            <w:tcW w:w="1361" w:type="dxa"/>
            <w:vAlign w:val="center"/>
          </w:tcPr>
          <w:p>
            <w:pPr>
              <w:pStyle w:val="13"/>
            </w:pPr>
          </w:p>
        </w:tc>
        <w:tc>
          <w:tcPr>
            <w:tcW w:w="1361" w:type="dxa"/>
            <w:vAlign w:val="center"/>
          </w:tcPr>
          <w:p>
            <w:pPr>
              <w:pStyle w:val="13"/>
            </w:pPr>
            <w:r>
              <w:t>252.68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3"/>
            </w:pPr>
            <w:r>
              <w:t>4200.00</w:t>
            </w:r>
          </w:p>
        </w:tc>
        <w:tc>
          <w:tcPr>
            <w:tcW w:w="1361" w:type="dxa"/>
            <w:vAlign w:val="center"/>
          </w:tcPr>
          <w:p>
            <w:pPr>
              <w:pStyle w:val="13"/>
            </w:pPr>
          </w:p>
        </w:tc>
        <w:tc>
          <w:tcPr>
            <w:tcW w:w="1361" w:type="dxa"/>
            <w:vAlign w:val="center"/>
          </w:tcPr>
          <w:p>
            <w:pPr>
              <w:pStyle w:val="13"/>
            </w:pPr>
            <w:r>
              <w:t>4200.00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3"/>
            </w:pPr>
            <w:r>
              <w:t>1800.00</w:t>
            </w:r>
          </w:p>
        </w:tc>
        <w:tc>
          <w:tcPr>
            <w:tcW w:w="1361" w:type="dxa"/>
            <w:vAlign w:val="center"/>
          </w:tcPr>
          <w:p>
            <w:pPr>
              <w:pStyle w:val="13"/>
            </w:pPr>
          </w:p>
        </w:tc>
        <w:tc>
          <w:tcPr>
            <w:tcW w:w="1361" w:type="dxa"/>
            <w:vAlign w:val="center"/>
          </w:tcPr>
          <w:p>
            <w:pPr>
              <w:pStyle w:val="13"/>
            </w:pPr>
            <w:r>
              <w:t>1800.00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2"/>
            </w:pPr>
            <w:r>
              <w:t>21213</w:t>
            </w:r>
          </w:p>
        </w:tc>
        <w:tc>
          <w:tcPr>
            <w:tcW w:w="4535" w:type="dxa"/>
            <w:vAlign w:val="center"/>
          </w:tcPr>
          <w:p>
            <w:pPr>
              <w:pStyle w:val="12"/>
            </w:pPr>
            <w:r>
              <w:t>城市基础设施配套费安排的支出</w:t>
            </w:r>
          </w:p>
        </w:tc>
        <w:tc>
          <w:tcPr>
            <w:tcW w:w="1361" w:type="dxa"/>
            <w:vAlign w:val="center"/>
          </w:tcPr>
          <w:p>
            <w:pPr>
              <w:pStyle w:val="13"/>
            </w:pPr>
            <w:r>
              <w:t>1392.58</w:t>
            </w:r>
          </w:p>
        </w:tc>
        <w:tc>
          <w:tcPr>
            <w:tcW w:w="1361" w:type="dxa"/>
            <w:vAlign w:val="center"/>
          </w:tcPr>
          <w:p>
            <w:pPr>
              <w:pStyle w:val="13"/>
            </w:pPr>
          </w:p>
        </w:tc>
        <w:tc>
          <w:tcPr>
            <w:tcW w:w="1361" w:type="dxa"/>
            <w:vAlign w:val="center"/>
          </w:tcPr>
          <w:p>
            <w:pPr>
              <w:pStyle w:val="13"/>
            </w:pPr>
            <w:r>
              <w:t>1392.58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2"/>
            </w:pPr>
            <w:r>
              <w:t>2121302</w:t>
            </w:r>
          </w:p>
        </w:tc>
        <w:tc>
          <w:tcPr>
            <w:tcW w:w="4535" w:type="dxa"/>
            <w:vAlign w:val="center"/>
          </w:tcPr>
          <w:p>
            <w:pPr>
              <w:pStyle w:val="12"/>
            </w:pPr>
            <w:r>
              <w:t>城市环境卫生</w:t>
            </w:r>
          </w:p>
        </w:tc>
        <w:tc>
          <w:tcPr>
            <w:tcW w:w="1361" w:type="dxa"/>
            <w:vAlign w:val="center"/>
          </w:tcPr>
          <w:p>
            <w:pPr>
              <w:pStyle w:val="13"/>
            </w:pPr>
            <w:r>
              <w:t>1284.89</w:t>
            </w:r>
          </w:p>
        </w:tc>
        <w:tc>
          <w:tcPr>
            <w:tcW w:w="1361" w:type="dxa"/>
            <w:vAlign w:val="center"/>
          </w:tcPr>
          <w:p>
            <w:pPr>
              <w:pStyle w:val="13"/>
            </w:pPr>
          </w:p>
        </w:tc>
        <w:tc>
          <w:tcPr>
            <w:tcW w:w="1361" w:type="dxa"/>
            <w:vAlign w:val="center"/>
          </w:tcPr>
          <w:p>
            <w:pPr>
              <w:pStyle w:val="13"/>
            </w:pPr>
            <w:r>
              <w:t>1284.89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2"/>
            </w:pPr>
            <w:r>
              <w:t>2121399</w:t>
            </w:r>
          </w:p>
        </w:tc>
        <w:tc>
          <w:tcPr>
            <w:tcW w:w="4535" w:type="dxa"/>
            <w:vAlign w:val="center"/>
          </w:tcPr>
          <w:p>
            <w:pPr>
              <w:pStyle w:val="12"/>
            </w:pPr>
            <w:r>
              <w:t>其他城市基础设施配套费安排的支出</w:t>
            </w:r>
          </w:p>
        </w:tc>
        <w:tc>
          <w:tcPr>
            <w:tcW w:w="1361" w:type="dxa"/>
            <w:vAlign w:val="center"/>
          </w:tcPr>
          <w:p>
            <w:pPr>
              <w:pStyle w:val="13"/>
            </w:pPr>
            <w:r>
              <w:t>107.69</w:t>
            </w:r>
          </w:p>
        </w:tc>
        <w:tc>
          <w:tcPr>
            <w:tcW w:w="1361" w:type="dxa"/>
            <w:vAlign w:val="center"/>
          </w:tcPr>
          <w:p>
            <w:pPr>
              <w:pStyle w:val="13"/>
            </w:pPr>
          </w:p>
        </w:tc>
        <w:tc>
          <w:tcPr>
            <w:tcW w:w="1361" w:type="dxa"/>
            <w:vAlign w:val="center"/>
          </w:tcPr>
          <w:p>
            <w:pPr>
              <w:pStyle w:val="13"/>
            </w:pPr>
            <w:r>
              <w:t>107.69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11.72</w:t>
            </w:r>
          </w:p>
        </w:tc>
        <w:tc>
          <w:tcPr>
            <w:tcW w:w="1361" w:type="dxa"/>
            <w:vAlign w:val="center"/>
          </w:tcPr>
          <w:p>
            <w:pPr>
              <w:pStyle w:val="13"/>
            </w:pPr>
            <w:r>
              <w:t>11.72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11.72</w:t>
            </w:r>
          </w:p>
        </w:tc>
        <w:tc>
          <w:tcPr>
            <w:tcW w:w="1361" w:type="dxa"/>
            <w:vAlign w:val="center"/>
          </w:tcPr>
          <w:p>
            <w:pPr>
              <w:pStyle w:val="13"/>
            </w:pPr>
            <w:r>
              <w:t>11.72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11.72</w:t>
            </w:r>
          </w:p>
        </w:tc>
        <w:tc>
          <w:tcPr>
            <w:tcW w:w="1361" w:type="dxa"/>
            <w:vAlign w:val="center"/>
          </w:tcPr>
          <w:p>
            <w:pPr>
              <w:pStyle w:val="13"/>
            </w:pPr>
            <w:r>
              <w:t>11.72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3593.45</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r>
              <w:t>7392.58</w:t>
            </w: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21.94</w:t>
            </w:r>
          </w:p>
        </w:tc>
        <w:tc>
          <w:tcPr>
            <w:tcW w:w="1474" w:type="dxa"/>
            <w:vAlign w:val="center"/>
          </w:tcPr>
          <w:p>
            <w:pPr>
              <w:pStyle w:val="13"/>
            </w:pPr>
            <w:r>
              <w:t>21.94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7.51</w:t>
            </w:r>
          </w:p>
        </w:tc>
        <w:tc>
          <w:tcPr>
            <w:tcW w:w="1474" w:type="dxa"/>
            <w:vAlign w:val="center"/>
          </w:tcPr>
          <w:p>
            <w:pPr>
              <w:pStyle w:val="13"/>
            </w:pPr>
            <w:r>
              <w:t>7.51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r>
              <w:t>11095.86</w:t>
            </w:r>
          </w:p>
        </w:tc>
        <w:tc>
          <w:tcPr>
            <w:tcW w:w="1474" w:type="dxa"/>
            <w:vAlign w:val="center"/>
          </w:tcPr>
          <w:p>
            <w:pPr>
              <w:pStyle w:val="13"/>
            </w:pPr>
            <w:r>
              <w:t>3703.28</w:t>
            </w:r>
          </w:p>
        </w:tc>
        <w:tc>
          <w:tcPr>
            <w:tcW w:w="1474" w:type="dxa"/>
            <w:vAlign w:val="center"/>
          </w:tcPr>
          <w:p>
            <w:pPr>
              <w:pStyle w:val="13"/>
            </w:pPr>
            <w:r>
              <w:t>7392.58</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11.72</w:t>
            </w:r>
          </w:p>
        </w:tc>
        <w:tc>
          <w:tcPr>
            <w:tcW w:w="1474" w:type="dxa"/>
            <w:vAlign w:val="center"/>
          </w:tcPr>
          <w:p>
            <w:pPr>
              <w:pStyle w:val="13"/>
            </w:pPr>
            <w:r>
              <w:t>11.72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10986.03</w:t>
            </w:r>
          </w:p>
        </w:tc>
        <w:tc>
          <w:tcPr>
            <w:tcW w:w="3402" w:type="dxa"/>
            <w:vAlign w:val="center"/>
          </w:tcPr>
          <w:p>
            <w:pPr>
              <w:pStyle w:val="14"/>
            </w:pPr>
            <w:r>
              <w:t>本年支出合计</w:t>
            </w:r>
          </w:p>
        </w:tc>
        <w:tc>
          <w:tcPr>
            <w:tcW w:w="1474" w:type="dxa"/>
            <w:vAlign w:val="center"/>
          </w:tcPr>
          <w:p>
            <w:pPr>
              <w:pStyle w:val="15"/>
            </w:pPr>
            <w:r>
              <w:t>11137.03</w:t>
            </w:r>
          </w:p>
        </w:tc>
        <w:tc>
          <w:tcPr>
            <w:tcW w:w="1474" w:type="dxa"/>
            <w:vAlign w:val="center"/>
          </w:tcPr>
          <w:p>
            <w:pPr>
              <w:pStyle w:val="15"/>
            </w:pPr>
            <w:r>
              <w:t>3744.45</w:t>
            </w:r>
          </w:p>
        </w:tc>
        <w:tc>
          <w:tcPr>
            <w:tcW w:w="1474" w:type="dxa"/>
            <w:vAlign w:val="center"/>
          </w:tcPr>
          <w:p>
            <w:pPr>
              <w:pStyle w:val="15"/>
            </w:pPr>
            <w:r>
              <w:t>7392.58</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r>
              <w:t>151.00</w:t>
            </w: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r>
              <w:t>151.00</w:t>
            </w: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11137.03</w:t>
            </w:r>
          </w:p>
        </w:tc>
        <w:tc>
          <w:tcPr>
            <w:tcW w:w="3402" w:type="dxa"/>
            <w:vAlign w:val="center"/>
          </w:tcPr>
          <w:p>
            <w:pPr>
              <w:pStyle w:val="14"/>
            </w:pPr>
            <w:r>
              <w:t>支出总计</w:t>
            </w:r>
          </w:p>
        </w:tc>
        <w:tc>
          <w:tcPr>
            <w:tcW w:w="1474" w:type="dxa"/>
            <w:vAlign w:val="center"/>
          </w:tcPr>
          <w:p>
            <w:pPr>
              <w:pStyle w:val="15"/>
            </w:pPr>
            <w:r>
              <w:t>11137.03</w:t>
            </w:r>
          </w:p>
        </w:tc>
        <w:tc>
          <w:tcPr>
            <w:tcW w:w="1474" w:type="dxa"/>
            <w:vAlign w:val="center"/>
          </w:tcPr>
          <w:p>
            <w:pPr>
              <w:pStyle w:val="15"/>
            </w:pPr>
            <w:r>
              <w:t>3744.45</w:t>
            </w:r>
          </w:p>
        </w:tc>
        <w:tc>
          <w:tcPr>
            <w:tcW w:w="1474" w:type="dxa"/>
            <w:vAlign w:val="center"/>
          </w:tcPr>
          <w:p>
            <w:pPr>
              <w:pStyle w:val="15"/>
            </w:pPr>
            <w:r>
              <w:t>7392.58</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3744.45</w:t>
            </w:r>
          </w:p>
        </w:tc>
        <w:tc>
          <w:tcPr>
            <w:tcW w:w="2551" w:type="dxa"/>
            <w:vAlign w:val="center"/>
          </w:tcPr>
          <w:p>
            <w:pPr>
              <w:pStyle w:val="15"/>
            </w:pPr>
            <w:r>
              <w:t>1762.67</w:t>
            </w:r>
          </w:p>
        </w:tc>
        <w:tc>
          <w:tcPr>
            <w:tcW w:w="2551" w:type="dxa"/>
            <w:vAlign w:val="center"/>
          </w:tcPr>
          <w:p>
            <w:pPr>
              <w:pStyle w:val="15"/>
            </w:pPr>
            <w:r>
              <w:t>1981.78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21.94</w:t>
            </w:r>
          </w:p>
        </w:tc>
        <w:tc>
          <w:tcPr>
            <w:tcW w:w="2551" w:type="dxa"/>
            <w:vAlign w:val="center"/>
          </w:tcPr>
          <w:p>
            <w:pPr>
              <w:pStyle w:val="13"/>
            </w:pPr>
            <w:r>
              <w:t>21.94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18.74</w:t>
            </w:r>
          </w:p>
        </w:tc>
        <w:tc>
          <w:tcPr>
            <w:tcW w:w="2551" w:type="dxa"/>
            <w:vAlign w:val="center"/>
          </w:tcPr>
          <w:p>
            <w:pPr>
              <w:pStyle w:val="13"/>
            </w:pPr>
            <w:r>
              <w:t>18.74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18.74</w:t>
            </w:r>
          </w:p>
        </w:tc>
        <w:tc>
          <w:tcPr>
            <w:tcW w:w="2551" w:type="dxa"/>
            <w:vAlign w:val="center"/>
          </w:tcPr>
          <w:p>
            <w:pPr>
              <w:pStyle w:val="13"/>
            </w:pPr>
            <w:r>
              <w:t>18.74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3"/>
            </w:pPr>
            <w:r>
              <w:t>3.20</w:t>
            </w:r>
          </w:p>
        </w:tc>
        <w:tc>
          <w:tcPr>
            <w:tcW w:w="2551" w:type="dxa"/>
            <w:vAlign w:val="center"/>
          </w:tcPr>
          <w:p>
            <w:pPr>
              <w:pStyle w:val="13"/>
            </w:pPr>
            <w:r>
              <w:t>3.20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6</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3"/>
            </w:pPr>
            <w:r>
              <w:t>3.20</w:t>
            </w:r>
          </w:p>
        </w:tc>
        <w:tc>
          <w:tcPr>
            <w:tcW w:w="2551" w:type="dxa"/>
            <w:vAlign w:val="center"/>
          </w:tcPr>
          <w:p>
            <w:pPr>
              <w:pStyle w:val="13"/>
            </w:pPr>
            <w:r>
              <w:t>3.20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7.51</w:t>
            </w:r>
          </w:p>
        </w:tc>
        <w:tc>
          <w:tcPr>
            <w:tcW w:w="2551" w:type="dxa"/>
            <w:vAlign w:val="center"/>
          </w:tcPr>
          <w:p>
            <w:pPr>
              <w:pStyle w:val="13"/>
            </w:pPr>
            <w:r>
              <w:t>7.51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7.51</w:t>
            </w:r>
          </w:p>
        </w:tc>
        <w:tc>
          <w:tcPr>
            <w:tcW w:w="2551" w:type="dxa"/>
            <w:vAlign w:val="center"/>
          </w:tcPr>
          <w:p>
            <w:pPr>
              <w:pStyle w:val="13"/>
            </w:pPr>
            <w:r>
              <w:t>7.51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3"/>
            </w:pPr>
            <w:r>
              <w:t>2.46</w:t>
            </w:r>
          </w:p>
        </w:tc>
        <w:tc>
          <w:tcPr>
            <w:tcW w:w="2551" w:type="dxa"/>
            <w:vAlign w:val="center"/>
          </w:tcPr>
          <w:p>
            <w:pPr>
              <w:pStyle w:val="13"/>
            </w:pPr>
            <w:r>
              <w:t>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5.05</w:t>
            </w:r>
          </w:p>
        </w:tc>
        <w:tc>
          <w:tcPr>
            <w:tcW w:w="2551" w:type="dxa"/>
            <w:vAlign w:val="center"/>
          </w:tcPr>
          <w:p>
            <w:pPr>
              <w:pStyle w:val="13"/>
            </w:pPr>
            <w:r>
              <w:t>5.05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3703.28</w:t>
            </w:r>
          </w:p>
        </w:tc>
        <w:tc>
          <w:tcPr>
            <w:tcW w:w="2551" w:type="dxa"/>
            <w:vAlign w:val="center"/>
          </w:tcPr>
          <w:p>
            <w:pPr>
              <w:pStyle w:val="13"/>
            </w:pPr>
            <w:r>
              <w:t>1721.50</w:t>
            </w:r>
          </w:p>
        </w:tc>
        <w:tc>
          <w:tcPr>
            <w:tcW w:w="2551" w:type="dxa"/>
            <w:vAlign w:val="center"/>
          </w:tcPr>
          <w:p>
            <w:pPr>
              <w:pStyle w:val="13"/>
            </w:pPr>
            <w:r>
              <w:t>1981.78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12</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3"/>
            </w:pPr>
            <w:r>
              <w:t>1876.50</w:t>
            </w:r>
          </w:p>
        </w:tc>
        <w:tc>
          <w:tcPr>
            <w:tcW w:w="2551" w:type="dxa"/>
            <w:vAlign w:val="center"/>
          </w:tcPr>
          <w:p>
            <w:pPr>
              <w:pStyle w:val="13"/>
            </w:pPr>
            <w:r>
              <w:t>1721.50</w:t>
            </w:r>
          </w:p>
        </w:tc>
        <w:tc>
          <w:tcPr>
            <w:tcW w:w="2551" w:type="dxa"/>
            <w:vAlign w:val="center"/>
          </w:tcPr>
          <w:p>
            <w:pPr>
              <w:pStyle w:val="13"/>
            </w:pPr>
            <w:r>
              <w:t>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13</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3"/>
            </w:pPr>
            <w:r>
              <w:t>52.30</w:t>
            </w:r>
          </w:p>
        </w:tc>
        <w:tc>
          <w:tcPr>
            <w:tcW w:w="2551" w:type="dxa"/>
            <w:vAlign w:val="center"/>
          </w:tcPr>
          <w:p>
            <w:pPr>
              <w:pStyle w:val="13"/>
            </w:pPr>
            <w:r>
              <w:t>52.30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14</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3"/>
            </w:pPr>
            <w:r>
              <w:t>1713.27</w:t>
            </w:r>
          </w:p>
        </w:tc>
        <w:tc>
          <w:tcPr>
            <w:tcW w:w="2551" w:type="dxa"/>
            <w:vAlign w:val="center"/>
          </w:tcPr>
          <w:p>
            <w:pPr>
              <w:pStyle w:val="13"/>
            </w:pPr>
            <w:r>
              <w:t>1558.27</w:t>
            </w:r>
          </w:p>
        </w:tc>
        <w:tc>
          <w:tcPr>
            <w:tcW w:w="2551" w:type="dxa"/>
            <w:vAlign w:val="center"/>
          </w:tcPr>
          <w:p>
            <w:pPr>
              <w:pStyle w:val="13"/>
            </w:pPr>
            <w:r>
              <w:t>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15</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3"/>
            </w:pPr>
            <w:r>
              <w:t>110.93</w:t>
            </w:r>
          </w:p>
        </w:tc>
        <w:tc>
          <w:tcPr>
            <w:tcW w:w="2551" w:type="dxa"/>
            <w:vAlign w:val="center"/>
          </w:tcPr>
          <w:p>
            <w:pPr>
              <w:pStyle w:val="13"/>
            </w:pPr>
            <w:r>
              <w:t>110.93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16</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3"/>
            </w:pPr>
            <w:r>
              <w:t>416.48</w:t>
            </w:r>
          </w:p>
        </w:tc>
        <w:tc>
          <w:tcPr>
            <w:tcW w:w="2551" w:type="dxa"/>
            <w:vAlign w:val="center"/>
          </w:tcPr>
          <w:p>
            <w:pPr>
              <w:pStyle w:val="13"/>
            </w:pPr>
          </w:p>
        </w:tc>
        <w:tc>
          <w:tcPr>
            <w:tcW w:w="2551" w:type="dxa"/>
            <w:vAlign w:val="center"/>
          </w:tcPr>
          <w:p>
            <w:pPr>
              <w:pStyle w:val="13"/>
            </w:pPr>
            <w:r>
              <w:t>416.48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17</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3"/>
            </w:pPr>
            <w:r>
              <w:t>163.80</w:t>
            </w:r>
          </w:p>
        </w:tc>
        <w:tc>
          <w:tcPr>
            <w:tcW w:w="2551" w:type="dxa"/>
            <w:vAlign w:val="center"/>
          </w:tcPr>
          <w:p>
            <w:pPr>
              <w:pStyle w:val="13"/>
            </w:pPr>
          </w:p>
        </w:tc>
        <w:tc>
          <w:tcPr>
            <w:tcW w:w="2551" w:type="dxa"/>
            <w:vAlign w:val="center"/>
          </w:tcPr>
          <w:p>
            <w:pPr>
              <w:pStyle w:val="13"/>
            </w:pPr>
            <w:r>
              <w:t>163.80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18</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3"/>
            </w:pPr>
            <w:r>
              <w:t>252.68</w:t>
            </w:r>
          </w:p>
        </w:tc>
        <w:tc>
          <w:tcPr>
            <w:tcW w:w="2551" w:type="dxa"/>
            <w:vAlign w:val="center"/>
          </w:tcPr>
          <w:p>
            <w:pPr>
              <w:pStyle w:val="13"/>
            </w:pPr>
          </w:p>
        </w:tc>
        <w:tc>
          <w:tcPr>
            <w:tcW w:w="2551" w:type="dxa"/>
            <w:vAlign w:val="center"/>
          </w:tcPr>
          <w:p>
            <w:pPr>
              <w:pStyle w:val="13"/>
            </w:pPr>
            <w:r>
              <w:t>252.68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19</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3"/>
            </w:pPr>
            <w:r>
              <w:t>1410.30</w:t>
            </w:r>
          </w:p>
        </w:tc>
        <w:tc>
          <w:tcPr>
            <w:tcW w:w="2551" w:type="dxa"/>
            <w:vAlign w:val="center"/>
          </w:tcPr>
          <w:p>
            <w:pPr>
              <w:pStyle w:val="13"/>
            </w:pPr>
          </w:p>
        </w:tc>
        <w:tc>
          <w:tcPr>
            <w:tcW w:w="2551" w:type="dxa"/>
            <w:vAlign w:val="center"/>
          </w:tcPr>
          <w:p>
            <w:pPr>
              <w:pStyle w:val="13"/>
            </w:pPr>
            <w:r>
              <w:t>1410.30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20</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3"/>
            </w:pPr>
            <w:r>
              <w:t>1410.30</w:t>
            </w:r>
          </w:p>
        </w:tc>
        <w:tc>
          <w:tcPr>
            <w:tcW w:w="2551" w:type="dxa"/>
            <w:vAlign w:val="center"/>
          </w:tcPr>
          <w:p>
            <w:pPr>
              <w:pStyle w:val="13"/>
            </w:pPr>
          </w:p>
        </w:tc>
        <w:tc>
          <w:tcPr>
            <w:tcW w:w="2551" w:type="dxa"/>
            <w:vAlign w:val="center"/>
          </w:tcPr>
          <w:p>
            <w:pPr>
              <w:pStyle w:val="13"/>
            </w:pPr>
            <w:r>
              <w:t>1410.30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11.72</w:t>
            </w:r>
          </w:p>
        </w:tc>
        <w:tc>
          <w:tcPr>
            <w:tcW w:w="2551" w:type="dxa"/>
            <w:vAlign w:val="center"/>
          </w:tcPr>
          <w:p>
            <w:pPr>
              <w:pStyle w:val="13"/>
            </w:pPr>
            <w:r>
              <w:t>11.72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11.72</w:t>
            </w:r>
          </w:p>
        </w:tc>
        <w:tc>
          <w:tcPr>
            <w:tcW w:w="2551" w:type="dxa"/>
            <w:vAlign w:val="center"/>
          </w:tcPr>
          <w:p>
            <w:pPr>
              <w:pStyle w:val="13"/>
            </w:pPr>
            <w:r>
              <w:t>11.72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0" w:type="dxa"/>
            <w:vAlign w:val="center"/>
          </w:tcPr>
          <w:p>
            <w:pPr>
              <w:pStyle w:val="11"/>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11.72</w:t>
            </w:r>
          </w:p>
        </w:tc>
        <w:tc>
          <w:tcPr>
            <w:tcW w:w="2551" w:type="dxa"/>
            <w:vAlign w:val="center"/>
          </w:tcPr>
          <w:p>
            <w:pPr>
              <w:pStyle w:val="13"/>
            </w:pPr>
            <w:r>
              <w:t>11.72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1762.67</w:t>
            </w:r>
          </w:p>
        </w:tc>
        <w:tc>
          <w:tcPr>
            <w:tcW w:w="2551" w:type="dxa"/>
            <w:vAlign w:val="center"/>
          </w:tcPr>
          <w:p>
            <w:pPr>
              <w:pStyle w:val="15"/>
            </w:pPr>
            <w:r>
              <w:t>1572.73</w:t>
            </w:r>
          </w:p>
        </w:tc>
        <w:tc>
          <w:tcPr>
            <w:tcW w:w="2551" w:type="dxa"/>
            <w:vAlign w:val="center"/>
          </w:tcPr>
          <w:p>
            <w:pPr>
              <w:pStyle w:val="15"/>
            </w:pPr>
            <w:r>
              <w:t>189.94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1569.37</w:t>
            </w:r>
          </w:p>
        </w:tc>
        <w:tc>
          <w:tcPr>
            <w:tcW w:w="2551" w:type="dxa"/>
            <w:vAlign w:val="center"/>
          </w:tcPr>
          <w:p>
            <w:pPr>
              <w:pStyle w:val="13"/>
            </w:pPr>
            <w:r>
              <w:t>1569.37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419.77</w:t>
            </w:r>
          </w:p>
        </w:tc>
        <w:tc>
          <w:tcPr>
            <w:tcW w:w="2551" w:type="dxa"/>
            <w:vAlign w:val="center"/>
          </w:tcPr>
          <w:p>
            <w:pPr>
              <w:pStyle w:val="13"/>
            </w:pPr>
            <w:r>
              <w:t>419.77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80.25</w:t>
            </w:r>
          </w:p>
        </w:tc>
        <w:tc>
          <w:tcPr>
            <w:tcW w:w="2551" w:type="dxa"/>
            <w:vAlign w:val="center"/>
          </w:tcPr>
          <w:p>
            <w:pPr>
              <w:pStyle w:val="13"/>
            </w:pPr>
            <w:r>
              <w:t>80.25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239.02</w:t>
            </w:r>
          </w:p>
        </w:tc>
        <w:tc>
          <w:tcPr>
            <w:tcW w:w="2551" w:type="dxa"/>
            <w:vAlign w:val="center"/>
          </w:tcPr>
          <w:p>
            <w:pPr>
              <w:pStyle w:val="13"/>
            </w:pPr>
            <w:r>
              <w:t>239.02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110.40</w:t>
            </w:r>
          </w:p>
        </w:tc>
        <w:tc>
          <w:tcPr>
            <w:tcW w:w="2551" w:type="dxa"/>
            <w:vAlign w:val="center"/>
          </w:tcPr>
          <w:p>
            <w:pPr>
              <w:pStyle w:val="13"/>
            </w:pPr>
            <w:r>
              <w:t>110.40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3"/>
            </w:pPr>
            <w:r>
              <w:t>45.83</w:t>
            </w:r>
          </w:p>
        </w:tc>
        <w:tc>
          <w:tcPr>
            <w:tcW w:w="2551" w:type="dxa"/>
            <w:vAlign w:val="center"/>
          </w:tcPr>
          <w:p>
            <w:pPr>
              <w:pStyle w:val="13"/>
            </w:pPr>
            <w:r>
              <w:t>45.83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44.01</w:t>
            </w:r>
          </w:p>
        </w:tc>
        <w:tc>
          <w:tcPr>
            <w:tcW w:w="2551" w:type="dxa"/>
            <w:vAlign w:val="center"/>
          </w:tcPr>
          <w:p>
            <w:pPr>
              <w:pStyle w:val="13"/>
            </w:pPr>
            <w:r>
              <w:t>44.01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8.74</w:t>
            </w:r>
          </w:p>
        </w:tc>
        <w:tc>
          <w:tcPr>
            <w:tcW w:w="2551" w:type="dxa"/>
            <w:vAlign w:val="center"/>
          </w:tcPr>
          <w:p>
            <w:pPr>
              <w:pStyle w:val="13"/>
            </w:pPr>
            <w:r>
              <w:t>8.74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68.56</w:t>
            </w:r>
          </w:p>
        </w:tc>
        <w:tc>
          <w:tcPr>
            <w:tcW w:w="2551" w:type="dxa"/>
            <w:vAlign w:val="center"/>
          </w:tcPr>
          <w:p>
            <w:pPr>
              <w:pStyle w:val="13"/>
            </w:pPr>
            <w:r>
              <w:t>68.56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549.29</w:t>
            </w:r>
          </w:p>
        </w:tc>
        <w:tc>
          <w:tcPr>
            <w:tcW w:w="2551" w:type="dxa"/>
            <w:vAlign w:val="center"/>
          </w:tcPr>
          <w:p>
            <w:pPr>
              <w:pStyle w:val="13"/>
            </w:pPr>
            <w:r>
              <w:t>549.29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183.94</w:t>
            </w:r>
          </w:p>
        </w:tc>
        <w:tc>
          <w:tcPr>
            <w:tcW w:w="2551" w:type="dxa"/>
            <w:vAlign w:val="center"/>
          </w:tcPr>
          <w:p>
            <w:pPr>
              <w:pStyle w:val="13"/>
            </w:pPr>
          </w:p>
        </w:tc>
        <w:tc>
          <w:tcPr>
            <w:tcW w:w="2551" w:type="dxa"/>
            <w:vAlign w:val="center"/>
          </w:tcPr>
          <w:p>
            <w:pPr>
              <w:pStyle w:val="13"/>
            </w:pPr>
            <w:r>
              <w:t>183.94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21.30</w:t>
            </w:r>
          </w:p>
        </w:tc>
        <w:tc>
          <w:tcPr>
            <w:tcW w:w="2551" w:type="dxa"/>
            <w:vAlign w:val="center"/>
          </w:tcPr>
          <w:p>
            <w:pPr>
              <w:pStyle w:val="13"/>
            </w:pPr>
          </w:p>
        </w:tc>
        <w:tc>
          <w:tcPr>
            <w:tcW w:w="2551" w:type="dxa"/>
            <w:vAlign w:val="center"/>
          </w:tcPr>
          <w:p>
            <w:pPr>
              <w:pStyle w:val="13"/>
            </w:pPr>
            <w:r>
              <w:t>21.30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3"/>
            </w:pPr>
            <w:r>
              <w:t>4.41</w:t>
            </w:r>
          </w:p>
        </w:tc>
        <w:tc>
          <w:tcPr>
            <w:tcW w:w="2551" w:type="dxa"/>
            <w:vAlign w:val="center"/>
          </w:tcPr>
          <w:p>
            <w:pPr>
              <w:pStyle w:val="13"/>
            </w:pPr>
          </w:p>
        </w:tc>
        <w:tc>
          <w:tcPr>
            <w:tcW w:w="2551" w:type="dxa"/>
            <w:vAlign w:val="center"/>
          </w:tcPr>
          <w:p>
            <w:pPr>
              <w:pStyle w:val="13"/>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30203</w:t>
            </w:r>
          </w:p>
        </w:tc>
        <w:tc>
          <w:tcPr>
            <w:tcW w:w="4535" w:type="dxa"/>
            <w:vAlign w:val="center"/>
          </w:tcPr>
          <w:p>
            <w:pPr>
              <w:pStyle w:val="12"/>
            </w:pPr>
            <w:r>
              <w:t>咨询费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36.42</w:t>
            </w:r>
          </w:p>
        </w:tc>
        <w:tc>
          <w:tcPr>
            <w:tcW w:w="2551" w:type="dxa"/>
            <w:vAlign w:val="center"/>
          </w:tcPr>
          <w:p>
            <w:pPr>
              <w:pStyle w:val="13"/>
            </w:pPr>
          </w:p>
        </w:tc>
        <w:tc>
          <w:tcPr>
            <w:tcW w:w="2551" w:type="dxa"/>
            <w:vAlign w:val="center"/>
          </w:tcPr>
          <w:p>
            <w:pPr>
              <w:pStyle w:val="13"/>
            </w:pPr>
            <w:r>
              <w:t>36.42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3"/>
            </w:pPr>
            <w:r>
              <w:t>10.50</w:t>
            </w:r>
          </w:p>
        </w:tc>
        <w:tc>
          <w:tcPr>
            <w:tcW w:w="2551" w:type="dxa"/>
            <w:vAlign w:val="center"/>
          </w:tcPr>
          <w:p>
            <w:pPr>
              <w:pStyle w:val="13"/>
            </w:pPr>
          </w:p>
        </w:tc>
        <w:tc>
          <w:tcPr>
            <w:tcW w:w="2551" w:type="dxa"/>
            <w:vAlign w:val="center"/>
          </w:tcPr>
          <w:p>
            <w:pPr>
              <w:pStyle w:val="13"/>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3"/>
            </w:pPr>
            <w:r>
              <w:t>3.38</w:t>
            </w:r>
          </w:p>
        </w:tc>
        <w:tc>
          <w:tcPr>
            <w:tcW w:w="2551" w:type="dxa"/>
            <w:vAlign w:val="center"/>
          </w:tcPr>
          <w:p>
            <w:pPr>
              <w:pStyle w:val="13"/>
            </w:pPr>
          </w:p>
        </w:tc>
        <w:tc>
          <w:tcPr>
            <w:tcW w:w="2551" w:type="dxa"/>
            <w:vAlign w:val="center"/>
          </w:tcPr>
          <w:p>
            <w:pPr>
              <w:pStyle w:val="13"/>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24.45</w:t>
            </w:r>
          </w:p>
        </w:tc>
        <w:tc>
          <w:tcPr>
            <w:tcW w:w="2551" w:type="dxa"/>
            <w:vAlign w:val="center"/>
          </w:tcPr>
          <w:p>
            <w:pPr>
              <w:pStyle w:val="13"/>
            </w:pPr>
          </w:p>
        </w:tc>
        <w:tc>
          <w:tcPr>
            <w:tcW w:w="2551" w:type="dxa"/>
            <w:vAlign w:val="center"/>
          </w:tcPr>
          <w:p>
            <w:pPr>
              <w:pStyle w:val="13"/>
            </w:pPr>
            <w:r>
              <w:t>24.45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3"/>
            </w:pPr>
            <w:r>
              <w:t>21.45</w:t>
            </w:r>
          </w:p>
        </w:tc>
        <w:tc>
          <w:tcPr>
            <w:tcW w:w="2551" w:type="dxa"/>
            <w:vAlign w:val="center"/>
          </w:tcPr>
          <w:p>
            <w:pPr>
              <w:pStyle w:val="13"/>
            </w:pPr>
          </w:p>
        </w:tc>
        <w:tc>
          <w:tcPr>
            <w:tcW w:w="2551" w:type="dxa"/>
            <w:vAlign w:val="center"/>
          </w:tcPr>
          <w:p>
            <w:pPr>
              <w:pStyle w:val="13"/>
            </w:pPr>
            <w: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3"/>
            </w:pPr>
            <w:r>
              <w:t>11.05</w:t>
            </w:r>
          </w:p>
        </w:tc>
        <w:tc>
          <w:tcPr>
            <w:tcW w:w="2551" w:type="dxa"/>
            <w:vAlign w:val="center"/>
          </w:tcPr>
          <w:p>
            <w:pPr>
              <w:pStyle w:val="13"/>
            </w:pPr>
          </w:p>
        </w:tc>
        <w:tc>
          <w:tcPr>
            <w:tcW w:w="2551" w:type="dxa"/>
            <w:vAlign w:val="center"/>
          </w:tcPr>
          <w:p>
            <w:pPr>
              <w:pStyle w:val="13"/>
            </w:pPr>
            <w:r>
              <w:t>11.05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4.44</w:t>
            </w:r>
          </w:p>
        </w:tc>
        <w:tc>
          <w:tcPr>
            <w:tcW w:w="2551" w:type="dxa"/>
            <w:vAlign w:val="center"/>
          </w:tcPr>
          <w:p>
            <w:pPr>
              <w:pStyle w:val="13"/>
            </w:pPr>
          </w:p>
        </w:tc>
        <w:tc>
          <w:tcPr>
            <w:tcW w:w="2551" w:type="dxa"/>
            <w:vAlign w:val="center"/>
          </w:tcPr>
          <w:p>
            <w:pPr>
              <w:pStyle w:val="13"/>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1.74</w:t>
            </w:r>
          </w:p>
        </w:tc>
        <w:tc>
          <w:tcPr>
            <w:tcW w:w="2551" w:type="dxa"/>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3.36</w:t>
            </w:r>
          </w:p>
        </w:tc>
        <w:tc>
          <w:tcPr>
            <w:tcW w:w="2551" w:type="dxa"/>
            <w:vAlign w:val="center"/>
          </w:tcPr>
          <w:p>
            <w:pPr>
              <w:pStyle w:val="13"/>
            </w:pPr>
            <w:r>
              <w:t>3.36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0.16</w:t>
            </w:r>
          </w:p>
        </w:tc>
        <w:tc>
          <w:tcPr>
            <w:tcW w:w="2551" w:type="dxa"/>
            <w:vAlign w:val="center"/>
          </w:tcPr>
          <w:p>
            <w:pPr>
              <w:pStyle w:val="13"/>
            </w:pPr>
            <w:r>
              <w:t>0.16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3.20</w:t>
            </w:r>
          </w:p>
        </w:tc>
        <w:tc>
          <w:tcPr>
            <w:tcW w:w="2551" w:type="dxa"/>
            <w:vAlign w:val="center"/>
          </w:tcPr>
          <w:p>
            <w:pPr>
              <w:pStyle w:val="13"/>
            </w:pPr>
            <w:r>
              <w:t>3.20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7392.58</w:t>
            </w:r>
          </w:p>
        </w:tc>
        <w:tc>
          <w:tcPr>
            <w:tcW w:w="2551" w:type="dxa"/>
            <w:vAlign w:val="center"/>
          </w:tcPr>
          <w:p>
            <w:pPr>
              <w:pStyle w:val="15"/>
            </w:pPr>
          </w:p>
        </w:tc>
        <w:tc>
          <w:tcPr>
            <w:tcW w:w="2551" w:type="dxa"/>
            <w:vAlign w:val="center"/>
          </w:tcPr>
          <w:p>
            <w:pPr>
              <w:pStyle w:val="15"/>
            </w:pPr>
            <w:r>
              <w:t>7392.58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7392.58</w:t>
            </w:r>
          </w:p>
        </w:tc>
        <w:tc>
          <w:tcPr>
            <w:tcW w:w="2551" w:type="dxa"/>
            <w:vAlign w:val="center"/>
          </w:tcPr>
          <w:p>
            <w:pPr>
              <w:pStyle w:val="13"/>
            </w:pPr>
          </w:p>
        </w:tc>
        <w:tc>
          <w:tcPr>
            <w:tcW w:w="2551" w:type="dxa"/>
            <w:vAlign w:val="center"/>
          </w:tcPr>
          <w:p>
            <w:pPr>
              <w:pStyle w:val="13"/>
            </w:pPr>
            <w:r>
              <w:t>7392.58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3"/>
            </w:pPr>
            <w:r>
              <w:t>6000.00</w:t>
            </w:r>
          </w:p>
        </w:tc>
        <w:tc>
          <w:tcPr>
            <w:tcW w:w="2551" w:type="dxa"/>
            <w:vAlign w:val="center"/>
          </w:tcPr>
          <w:p>
            <w:pPr>
              <w:pStyle w:val="13"/>
            </w:pPr>
          </w:p>
        </w:tc>
        <w:tc>
          <w:tcPr>
            <w:tcW w:w="2551" w:type="dxa"/>
            <w:vAlign w:val="center"/>
          </w:tcPr>
          <w:p>
            <w:pPr>
              <w:pStyle w:val="13"/>
            </w:pPr>
            <w:r>
              <w:t>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3"/>
            </w:pPr>
            <w:r>
              <w:t>4200.00</w:t>
            </w:r>
          </w:p>
        </w:tc>
        <w:tc>
          <w:tcPr>
            <w:tcW w:w="2551" w:type="dxa"/>
            <w:vAlign w:val="center"/>
          </w:tcPr>
          <w:p>
            <w:pPr>
              <w:pStyle w:val="13"/>
            </w:pPr>
          </w:p>
        </w:tc>
        <w:tc>
          <w:tcPr>
            <w:tcW w:w="2551" w:type="dxa"/>
            <w:vAlign w:val="center"/>
          </w:tcPr>
          <w:p>
            <w:pPr>
              <w:pStyle w:val="13"/>
            </w:pPr>
            <w:r>
              <w:t>4200.00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3"/>
            </w:pPr>
            <w:r>
              <w:t>1800.00</w:t>
            </w:r>
          </w:p>
        </w:tc>
        <w:tc>
          <w:tcPr>
            <w:tcW w:w="2551" w:type="dxa"/>
            <w:vAlign w:val="center"/>
          </w:tcPr>
          <w:p>
            <w:pPr>
              <w:pStyle w:val="13"/>
            </w:pPr>
          </w:p>
        </w:tc>
        <w:tc>
          <w:tcPr>
            <w:tcW w:w="2551" w:type="dxa"/>
            <w:vAlign w:val="center"/>
          </w:tcPr>
          <w:p>
            <w:pPr>
              <w:pStyle w:val="13"/>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3"/>
            </w:pPr>
            <w:r>
              <w:t>1392.58</w:t>
            </w:r>
          </w:p>
        </w:tc>
        <w:tc>
          <w:tcPr>
            <w:tcW w:w="2551" w:type="dxa"/>
            <w:vAlign w:val="center"/>
          </w:tcPr>
          <w:p>
            <w:pPr>
              <w:pStyle w:val="13"/>
            </w:pPr>
          </w:p>
        </w:tc>
        <w:tc>
          <w:tcPr>
            <w:tcW w:w="2551" w:type="dxa"/>
            <w:vAlign w:val="center"/>
          </w:tcPr>
          <w:p>
            <w:pPr>
              <w:pStyle w:val="13"/>
            </w:pPr>
            <w:r>
              <w:t>1392.58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2121302</w:t>
            </w:r>
          </w:p>
        </w:tc>
        <w:tc>
          <w:tcPr>
            <w:tcW w:w="4535" w:type="dxa"/>
            <w:vAlign w:val="center"/>
          </w:tcPr>
          <w:p>
            <w:pPr>
              <w:pStyle w:val="12"/>
            </w:pPr>
            <w:r>
              <w:t>城市环境卫生</w:t>
            </w:r>
          </w:p>
        </w:tc>
        <w:tc>
          <w:tcPr>
            <w:tcW w:w="2551" w:type="dxa"/>
            <w:vAlign w:val="center"/>
          </w:tcPr>
          <w:p>
            <w:pPr>
              <w:pStyle w:val="13"/>
            </w:pPr>
            <w:r>
              <w:t>1284.89</w:t>
            </w:r>
          </w:p>
        </w:tc>
        <w:tc>
          <w:tcPr>
            <w:tcW w:w="2551" w:type="dxa"/>
            <w:vAlign w:val="center"/>
          </w:tcPr>
          <w:p>
            <w:pPr>
              <w:pStyle w:val="13"/>
            </w:pPr>
          </w:p>
        </w:tc>
        <w:tc>
          <w:tcPr>
            <w:tcW w:w="2551" w:type="dxa"/>
            <w:vAlign w:val="center"/>
          </w:tcPr>
          <w:p>
            <w:pPr>
              <w:pStyle w:val="13"/>
            </w:pPr>
            <w:r>
              <w:t>1284.89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2121399</w:t>
            </w:r>
          </w:p>
        </w:tc>
        <w:tc>
          <w:tcPr>
            <w:tcW w:w="4535" w:type="dxa"/>
            <w:vAlign w:val="center"/>
          </w:tcPr>
          <w:p>
            <w:pPr>
              <w:pStyle w:val="12"/>
            </w:pPr>
            <w:r>
              <w:t>其他城市基础设施配套费安排的支出</w:t>
            </w:r>
          </w:p>
        </w:tc>
        <w:tc>
          <w:tcPr>
            <w:tcW w:w="2551" w:type="dxa"/>
            <w:vAlign w:val="center"/>
          </w:tcPr>
          <w:p>
            <w:pPr>
              <w:pStyle w:val="13"/>
            </w:pPr>
            <w:r>
              <w:t>107.69</w:t>
            </w:r>
          </w:p>
        </w:tc>
        <w:tc>
          <w:tcPr>
            <w:tcW w:w="2551" w:type="dxa"/>
            <w:vAlign w:val="center"/>
          </w:tcPr>
          <w:p>
            <w:pPr>
              <w:pStyle w:val="13"/>
            </w:pPr>
          </w:p>
        </w:tc>
        <w:tc>
          <w:tcPr>
            <w:tcW w:w="2551" w:type="dxa"/>
            <w:vAlign w:val="center"/>
          </w:tcPr>
          <w:p>
            <w:pPr>
              <w:pStyle w:val="13"/>
            </w:pPr>
            <w:r>
              <w:t>107.69</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4"/>
            </w:pPr>
            <w:r>
              <w:t>合计</w:t>
            </w:r>
          </w:p>
        </w:tc>
        <w:tc>
          <w:tcPr>
            <w:tcW w:w="2382" w:type="dxa"/>
            <w:vAlign w:val="center"/>
          </w:tcPr>
          <w:p>
            <w:pPr>
              <w:pStyle w:val="15"/>
            </w:pPr>
            <w:r>
              <w:t>12.35</w:t>
            </w:r>
          </w:p>
        </w:tc>
        <w:tc>
          <w:tcPr>
            <w:tcW w:w="2381" w:type="dxa"/>
            <w:vAlign w:val="center"/>
          </w:tcPr>
          <w:p>
            <w:pPr>
              <w:pStyle w:val="15"/>
            </w:pPr>
            <w:r>
              <w:t>12.35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2</w:t>
            </w:r>
          </w:p>
        </w:tc>
        <w:tc>
          <w:tcPr>
            <w:tcW w:w="3798" w:type="dxa"/>
            <w:vAlign w:val="center"/>
          </w:tcPr>
          <w:p>
            <w:pPr>
              <w:pStyle w:val="12"/>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3</w:t>
            </w:r>
          </w:p>
        </w:tc>
        <w:tc>
          <w:tcPr>
            <w:tcW w:w="3798" w:type="dxa"/>
            <w:vAlign w:val="center"/>
          </w:tcPr>
          <w:p>
            <w:pPr>
              <w:pStyle w:val="12"/>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4</w:t>
            </w:r>
          </w:p>
        </w:tc>
        <w:tc>
          <w:tcPr>
            <w:tcW w:w="3798" w:type="dxa"/>
            <w:vAlign w:val="center"/>
          </w:tcPr>
          <w:p>
            <w:pPr>
              <w:pStyle w:val="12"/>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5</w:t>
            </w:r>
          </w:p>
        </w:tc>
        <w:tc>
          <w:tcPr>
            <w:tcW w:w="3798" w:type="dxa"/>
            <w:vAlign w:val="center"/>
          </w:tcPr>
          <w:p>
            <w:pPr>
              <w:pStyle w:val="12"/>
            </w:pPr>
            <w:r>
              <w:t>二、公务用车购置及运维费</w:t>
            </w:r>
          </w:p>
        </w:tc>
        <w:tc>
          <w:tcPr>
            <w:tcW w:w="2382" w:type="dxa"/>
            <w:vAlign w:val="center"/>
          </w:tcPr>
          <w:p>
            <w:pPr>
              <w:pStyle w:val="13"/>
            </w:pPr>
            <w:r>
              <w:t>11.05</w:t>
            </w:r>
          </w:p>
        </w:tc>
        <w:tc>
          <w:tcPr>
            <w:tcW w:w="2381" w:type="dxa"/>
            <w:vAlign w:val="center"/>
          </w:tcPr>
          <w:p>
            <w:pPr>
              <w:pStyle w:val="13"/>
            </w:pPr>
            <w:r>
              <w:t>11.05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6</w:t>
            </w:r>
          </w:p>
        </w:tc>
        <w:tc>
          <w:tcPr>
            <w:tcW w:w="3798" w:type="dxa"/>
            <w:vAlign w:val="center"/>
          </w:tcPr>
          <w:p>
            <w:pPr>
              <w:pStyle w:val="12"/>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7</w:t>
            </w:r>
          </w:p>
        </w:tc>
        <w:tc>
          <w:tcPr>
            <w:tcW w:w="3798" w:type="dxa"/>
            <w:vAlign w:val="center"/>
          </w:tcPr>
          <w:p>
            <w:pPr>
              <w:pStyle w:val="12"/>
            </w:pPr>
            <w:r>
              <w:t xml:space="preserve">          公务用车运行维护费</w:t>
            </w:r>
          </w:p>
        </w:tc>
        <w:tc>
          <w:tcPr>
            <w:tcW w:w="2382" w:type="dxa"/>
            <w:vAlign w:val="center"/>
          </w:tcPr>
          <w:p>
            <w:pPr>
              <w:pStyle w:val="13"/>
            </w:pPr>
            <w:r>
              <w:t>11.05</w:t>
            </w:r>
          </w:p>
        </w:tc>
        <w:tc>
          <w:tcPr>
            <w:tcW w:w="2381" w:type="dxa"/>
            <w:vAlign w:val="center"/>
          </w:tcPr>
          <w:p>
            <w:pPr>
              <w:pStyle w:val="13"/>
            </w:pPr>
            <w:r>
              <w:t>11.05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2"/>
            </w:pPr>
            <w:r>
              <w:t>三、公务接待费</w:t>
            </w:r>
          </w:p>
        </w:tc>
        <w:tc>
          <w:tcPr>
            <w:tcW w:w="2382" w:type="dxa"/>
            <w:vAlign w:val="center"/>
          </w:tcPr>
          <w:p>
            <w:pPr>
              <w:pStyle w:val="13"/>
            </w:pPr>
            <w:r>
              <w:t>1.30</w:t>
            </w:r>
          </w:p>
        </w:tc>
        <w:tc>
          <w:tcPr>
            <w:tcW w:w="2381" w:type="dxa"/>
            <w:vAlign w:val="center"/>
          </w:tcPr>
          <w:p>
            <w:pPr>
              <w:pStyle w:val="13"/>
            </w:pPr>
            <w:r>
              <w:t>1.30</w:t>
            </w:r>
          </w:p>
        </w:tc>
        <w:tc>
          <w:tcPr>
            <w:tcW w:w="2381" w:type="dxa"/>
            <w:vAlign w:val="center"/>
          </w:tcPr>
          <w:p>
            <w:pPr>
              <w:pStyle w:val="13"/>
            </w:pPr>
          </w:p>
        </w:tc>
        <w:tc>
          <w:tcPr>
            <w:tcW w:w="2381" w:type="dxa"/>
            <w:vAlign w:val="center"/>
          </w:tcPr>
          <w:p>
            <w:pPr>
              <w:pStyle w:val="13"/>
            </w:pPr>
          </w:p>
        </w:tc>
      </w:tr>
    </w:tbl>
    <w:p>
      <w:pPr>
        <w:jc w:val="both"/>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高阳县城市管理综合行政执法局2022年部门预算信息公开情况说明</w:t>
      </w:r>
    </w:p>
    <w:p>
      <w:pPr>
        <w:jc w:val="center"/>
      </w:pPr>
      <w:r>
        <w:rPr>
          <w:rFonts w:ascii="方正小标宋_GBK" w:hAnsi="方正小标宋_GBK" w:eastAsia="方正小标宋_GBK" w:cs="方正小标宋_GBK"/>
          <w:color w:val="000000"/>
          <w:sz w:val="44"/>
        </w:rPr>
        <w:t>高阳县城市管理综合行政执法局2022年部门预算信息公开情况说明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bookmarkStart w:id="17" w:name="_GoBack"/>
      <w:bookmarkEnd w:id="17"/>
      <w:r>
        <w:rPr>
          <w:rFonts w:eastAsia="方正仿宋_GBK"/>
          <w:color w:val="000000"/>
          <w:sz w:val="28"/>
        </w:rPr>
        <w:t>、《地方预决算公开操作规程》和《关于进一步推进预算公开工作的实施意见》规定，现将高阳县城市管理综合行政执法局2022年部门预算公开如下：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1、宣传贯彻省、市、县有关城市管理方面的政策和法规</w:t>
      </w:r>
      <w:r>
        <w:rPr>
          <w:rFonts w:hint="eastAsia"/>
          <w:lang w:val="en-US" w:eastAsia="zh-CN"/>
        </w:rPr>
        <w:t>；</w:t>
      </w:r>
      <w:r>
        <w:t>拟定和实施城市管理方面的有关规定。</w:t>
      </w:r>
    </w:p>
    <w:p>
      <w:pPr>
        <w:pStyle w:val="17"/>
      </w:pPr>
      <w:r>
        <w:t>2、负责编制城市管理发展战略</w:t>
      </w:r>
      <w:r>
        <w:rPr>
          <w:rFonts w:hint="eastAsia"/>
          <w:lang w:eastAsia="zh-CN"/>
        </w:rPr>
        <w:t>，</w:t>
      </w:r>
      <w:r>
        <w:t>中长期发展规划和年度计划</w:t>
      </w:r>
      <w:r>
        <w:rPr>
          <w:rFonts w:hint="eastAsia"/>
          <w:lang w:eastAsia="zh-CN"/>
        </w:rPr>
        <w:t>，</w:t>
      </w:r>
      <w:r>
        <w:t>推进数字城管智慧化。并会同自然资源和规划局编制实施市容景观、环境卫生、城市绿化等各项专业规划。</w:t>
      </w:r>
    </w:p>
    <w:p>
      <w:pPr>
        <w:pStyle w:val="17"/>
      </w:pPr>
      <w:r>
        <w:t>3、负责城区城市容貌和环境卫生管理、参与城区环境卫生设施的规划及环卫设施的竣工验收</w:t>
      </w:r>
      <w:r>
        <w:rPr>
          <w:rFonts w:hint="eastAsia"/>
          <w:lang w:eastAsia="zh-CN"/>
        </w:rPr>
        <w:t>；</w:t>
      </w:r>
      <w:r>
        <w:t>负责城区环境卫生设施、设备、经费的管理</w:t>
      </w:r>
      <w:r>
        <w:rPr>
          <w:rFonts w:hint="eastAsia"/>
          <w:lang w:eastAsia="zh-CN"/>
        </w:rPr>
        <w:t>，</w:t>
      </w:r>
      <w:r>
        <w:t>道路清融雪等工作</w:t>
      </w:r>
      <w:r>
        <w:rPr>
          <w:rFonts w:hint="eastAsia"/>
          <w:lang w:eastAsia="zh-CN"/>
        </w:rPr>
        <w:t>；</w:t>
      </w:r>
      <w:r>
        <w:t>负责对环境卫生方面新技术的研究推广工作。负责制定城市容貌标准</w:t>
      </w:r>
      <w:r>
        <w:rPr>
          <w:rFonts w:hint="eastAsia"/>
          <w:lang w:eastAsia="zh-CN"/>
        </w:rPr>
        <w:t>，</w:t>
      </w:r>
      <w:r>
        <w:t>并监督执行。组织实施市容整治和门前“三包”</w:t>
      </w:r>
      <w:r>
        <w:rPr>
          <w:rFonts w:hint="eastAsia"/>
          <w:lang w:eastAsia="zh-CN"/>
        </w:rPr>
        <w:t>；</w:t>
      </w:r>
      <w:r>
        <w:t>组织开展街道、住宅小区环境的考核评比工作。</w:t>
      </w:r>
    </w:p>
    <w:p>
      <w:pPr>
        <w:pStyle w:val="17"/>
      </w:pPr>
      <w:r>
        <w:t>4、负责建成区内垃圾处理等方面的工作。指导建制镇生活垃圾及农村生活垃圾收运处置体系建设</w:t>
      </w:r>
      <w:r>
        <w:rPr>
          <w:rFonts w:hint="eastAsia"/>
          <w:lang w:eastAsia="zh-CN"/>
        </w:rPr>
        <w:t>；</w:t>
      </w:r>
      <w:r>
        <w:t>指导各乡镇环卫工作的开展。</w:t>
      </w:r>
    </w:p>
    <w:p>
      <w:pPr>
        <w:pStyle w:val="17"/>
      </w:pPr>
      <w:r>
        <w:t>5、负责城区公共空间秩序管理方面的户外广告设置</w:t>
      </w:r>
      <w:r>
        <w:rPr>
          <w:rFonts w:hint="eastAsia"/>
          <w:lang w:eastAsia="zh-CN"/>
        </w:rPr>
        <w:t>，</w:t>
      </w:r>
      <w:r>
        <w:t>门头牌匾、建筑外立面装修、“街道家具”等管理工作。</w:t>
      </w:r>
    </w:p>
    <w:p>
      <w:pPr>
        <w:pStyle w:val="17"/>
      </w:pPr>
      <w:r>
        <w:t>6、负责城市交通管理方面的便道车辆停放管理工作。</w:t>
      </w:r>
    </w:p>
    <w:p>
      <w:pPr>
        <w:pStyle w:val="17"/>
      </w:pPr>
      <w:r>
        <w:t>7、负责城市管理相关业务安全管理工作。</w:t>
      </w:r>
    </w:p>
    <w:p>
      <w:pPr>
        <w:pStyle w:val="17"/>
      </w:pPr>
      <w:r>
        <w:t>8、负责城市环境保护管理方面的道路扬尘、露天烧烤整治工作。</w:t>
      </w:r>
    </w:p>
    <w:p>
      <w:pPr>
        <w:pStyle w:val="17"/>
      </w:pPr>
      <w:r>
        <w:t>9、负责城市园林绿化管理等方面的全部工作。</w:t>
      </w:r>
    </w:p>
    <w:p>
      <w:pPr>
        <w:pStyle w:val="17"/>
      </w:pPr>
      <w:r>
        <w:t>10、集中行使与群众生产生活密切相关、执法频率高、多头执法扰民问题突出、专业技术要求适宜、与城市管理密切相关的行政处罚权</w:t>
      </w:r>
      <w:r>
        <w:rPr>
          <w:rFonts w:hint="eastAsia"/>
          <w:lang w:eastAsia="zh-CN"/>
        </w:rPr>
        <w:t>，</w:t>
      </w:r>
      <w:r>
        <w:t>具体包括:</w:t>
      </w:r>
    </w:p>
    <w:p>
      <w:pPr>
        <w:pStyle w:val="17"/>
        <w:rPr>
          <w:rFonts w:hint="eastAsia" w:eastAsia="方正仿宋_GBK"/>
          <w:lang w:eastAsia="zh-CN"/>
        </w:rPr>
      </w:pPr>
      <w:r>
        <w:t>（1）市容环境卫生管理方面法律、法规、规章规定的行政处罚权</w:t>
      </w:r>
      <w:r>
        <w:rPr>
          <w:rFonts w:hint="eastAsia"/>
          <w:lang w:eastAsia="zh-CN"/>
        </w:rPr>
        <w:t>；</w:t>
      </w:r>
    </w:p>
    <w:p>
      <w:pPr>
        <w:pStyle w:val="17"/>
        <w:rPr>
          <w:rFonts w:hint="eastAsia" w:eastAsia="方正仿宋_GBK"/>
          <w:lang w:eastAsia="zh-CN"/>
        </w:rPr>
      </w:pPr>
      <w:r>
        <w:t>（2）城市绿化管理方面法律、法规、规章规定的行政处罚权</w:t>
      </w:r>
      <w:r>
        <w:rPr>
          <w:rFonts w:hint="eastAsia"/>
          <w:lang w:eastAsia="zh-CN"/>
        </w:rPr>
        <w:t>；</w:t>
      </w:r>
    </w:p>
    <w:p>
      <w:pPr>
        <w:pStyle w:val="17"/>
        <w:rPr>
          <w:rFonts w:hint="eastAsia" w:eastAsia="方正仿宋_GBK"/>
          <w:lang w:eastAsia="zh-CN"/>
        </w:rPr>
      </w:pPr>
      <w:r>
        <w:t>（3）城市规划管理方面在规划区内未取得建设工程规划许可证进行建设的、已取得建设工程规划许可证未按规划进行建设的行政处罚权</w:t>
      </w:r>
      <w:r>
        <w:rPr>
          <w:rFonts w:hint="eastAsia"/>
          <w:lang w:eastAsia="zh-CN"/>
        </w:rPr>
        <w:t>；</w:t>
      </w:r>
    </w:p>
    <w:p>
      <w:pPr>
        <w:pStyle w:val="17"/>
      </w:pPr>
      <w:r>
        <w:t>（4）公安交通管理方面在人行道、广场等公共场所内违反机动车停放、临时停车规定行为法律、法规、规章规定的行政处罚权；</w:t>
      </w:r>
    </w:p>
    <w:p>
      <w:pPr>
        <w:pStyle w:val="17"/>
        <w:rPr>
          <w:rFonts w:hint="eastAsia" w:eastAsia="方正仿宋_GBK"/>
          <w:lang w:eastAsia="zh-CN"/>
        </w:rPr>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r>
        <w:rPr>
          <w:rFonts w:hint="eastAsia"/>
          <w:lang w:eastAsia="zh-CN"/>
        </w:rPr>
        <w:t>；</w:t>
      </w:r>
    </w:p>
    <w:p>
      <w:pPr>
        <w:pStyle w:val="17"/>
        <w:rPr>
          <w:rFonts w:hint="eastAsia" w:eastAsia="方正仿宋_GBK"/>
          <w:lang w:eastAsia="zh-CN"/>
        </w:rPr>
      </w:pPr>
      <w:r>
        <w:t>（6）水务管理方面向城市河道倾倒废弃物和垃圾、城市河道违法建筑物拆除、违法取土的法律、法规、规章规定的行政处罚权</w:t>
      </w:r>
      <w:r>
        <w:rPr>
          <w:rFonts w:hint="eastAsia"/>
          <w:lang w:eastAsia="zh-CN"/>
        </w:rPr>
        <w:t>；</w:t>
      </w:r>
    </w:p>
    <w:p>
      <w:pPr>
        <w:pStyle w:val="17"/>
        <w:rPr>
          <w:rFonts w:hint="eastAsia" w:eastAsia="方正仿宋_GBK"/>
          <w:lang w:eastAsia="zh-CN"/>
        </w:rPr>
      </w:pPr>
      <w:r>
        <w:t>（7）市场监督管理方面户外公共场所无证、无照经营、违规设置户外广告</w:t>
      </w:r>
      <w:r>
        <w:rPr>
          <w:rFonts w:hint="eastAsia"/>
          <w:lang w:eastAsia="zh-CN"/>
        </w:rPr>
        <w:t>，</w:t>
      </w:r>
      <w:r>
        <w:t>违法回收贩卖药品行为法律、法规、规章规定的行政处罚权</w:t>
      </w:r>
      <w:r>
        <w:rPr>
          <w:rFonts w:hint="eastAsia"/>
          <w:lang w:eastAsia="zh-CN"/>
        </w:rPr>
        <w:t>；</w:t>
      </w:r>
    </w:p>
    <w:p>
      <w:pPr>
        <w:pStyle w:val="17"/>
      </w:pPr>
      <w:r>
        <w:t>城市管理综合行政执法部门可以实施与上述范围内法律、法规、规章规定的行政处罚权有关的行政强制措施。</w:t>
      </w:r>
    </w:p>
    <w:p>
      <w:pPr>
        <w:pStyle w:val="17"/>
      </w:pPr>
      <w:r>
        <w:t>11、完成县委、县政府交办的其他事项。</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高阳县城市管理综合行政执法局（行政）</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高阳县城市管理综合行政执法局（事业）</w:t>
            </w:r>
          </w:p>
        </w:tc>
        <w:tc>
          <w:tcPr>
            <w:tcW w:w="1843" w:type="dxa"/>
            <w:vAlign w:val="center"/>
          </w:tcPr>
          <w:p>
            <w:pPr>
              <w:pStyle w:val="11"/>
            </w:pPr>
            <w:r>
              <w:t>事业</w:t>
            </w:r>
          </w:p>
        </w:tc>
        <w:tc>
          <w:tcPr>
            <w:tcW w:w="2126" w:type="dxa"/>
            <w:vAlign w:val="center"/>
          </w:tcPr>
          <w:p>
            <w:pPr>
              <w:pStyle w:val="11"/>
            </w:pPr>
            <w:r>
              <w:t>副科级</w:t>
            </w:r>
          </w:p>
        </w:tc>
        <w:tc>
          <w:tcPr>
            <w:tcW w:w="3827" w:type="dxa"/>
            <w:vAlign w:val="center"/>
          </w:tcPr>
          <w:p>
            <w:pPr>
              <w:pStyle w:val="11"/>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高阳县城市管理综合行政执法局（自收自支）</w:t>
            </w:r>
          </w:p>
        </w:tc>
        <w:tc>
          <w:tcPr>
            <w:tcW w:w="1843" w:type="dxa"/>
            <w:vAlign w:val="center"/>
          </w:tcPr>
          <w:p>
            <w:pPr>
              <w:pStyle w:val="11"/>
            </w:pPr>
            <w:r>
              <w:t>事业</w:t>
            </w:r>
          </w:p>
        </w:tc>
        <w:tc>
          <w:tcPr>
            <w:tcW w:w="2126" w:type="dxa"/>
            <w:vAlign w:val="center"/>
          </w:tcPr>
          <w:p>
            <w:pPr>
              <w:pStyle w:val="11"/>
            </w:pPr>
            <w:r>
              <w:t>副科级</w:t>
            </w:r>
          </w:p>
        </w:tc>
        <w:tc>
          <w:tcPr>
            <w:tcW w:w="3827" w:type="dxa"/>
            <w:vAlign w:val="center"/>
          </w:tcPr>
          <w:p>
            <w:pPr>
              <w:pStyle w:val="11"/>
            </w:pPr>
            <w:r>
              <w:t>财政性资金零补助</w:t>
            </w:r>
          </w:p>
        </w:tc>
      </w:tr>
    </w:tbl>
    <w:p>
      <w:pPr>
        <w:keepNext w:val="0"/>
        <w:keepLines w:val="0"/>
        <w:pageBreakBefore w:val="0"/>
        <w:widowControl/>
        <w:kinsoku/>
        <w:wordWrap/>
        <w:overflowPunct/>
        <w:topLinePunct w:val="0"/>
        <w:autoSpaceDE/>
        <w:autoSpaceDN/>
        <w:bidi w:val="0"/>
        <w:adjustRightInd/>
        <w:snapToGrid/>
        <w:spacing w:line="360" w:lineRule="auto"/>
        <w:ind w:firstLine="640"/>
        <w:textAlignment w:val="auto"/>
        <w:outlineLvl w:val="2"/>
      </w:pPr>
      <w:bookmarkStart w:id="10" w:name="_Toc_3_3_0000000011"/>
      <w:r>
        <w:rPr>
          <w:rFonts w:ascii="黑体" w:hAnsi="黑体" w:eastAsia="黑体" w:cs="黑体"/>
          <w:color w:val="000000"/>
          <w:sz w:val="32"/>
        </w:rPr>
        <w:t>二、部门预算安排的总体情况</w:t>
      </w:r>
      <w:bookmarkEnd w:id="10"/>
    </w:p>
    <w:p>
      <w:pPr>
        <w:keepNext w:val="0"/>
        <w:keepLines w:val="0"/>
        <w:pageBreakBefore w:val="0"/>
        <w:widowControl/>
        <w:kinsoku/>
        <w:wordWrap/>
        <w:overflowPunct/>
        <w:topLinePunct w:val="0"/>
        <w:autoSpaceDE/>
        <w:autoSpaceDN/>
        <w:bidi w:val="0"/>
        <w:adjustRightInd/>
        <w:snapToGrid/>
        <w:spacing w:line="500" w:lineRule="exact"/>
        <w:ind w:firstLine="560"/>
        <w:textAlignment w:val="auto"/>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部门预算的编制实行综合预算管理，即全部收入和支出都反映在预算中。高阳县城市管理综合行政执法局机关及所属事业单位的收支包含在部门预算中。</w:t>
      </w:r>
    </w:p>
    <w:p>
      <w:pPr>
        <w:pStyle w:val="18"/>
        <w:keepNext w:val="0"/>
        <w:keepLines w:val="0"/>
        <w:pageBreakBefore w:val="0"/>
        <w:widowControl/>
        <w:kinsoku/>
        <w:wordWrap/>
        <w:overflowPunct/>
        <w:topLinePunct w:val="0"/>
        <w:autoSpaceDE/>
        <w:autoSpaceDN/>
        <w:bidi w:val="0"/>
        <w:adjustRightInd/>
        <w:snapToGrid/>
        <w:textAlignment w:val="auto"/>
      </w:pPr>
      <w:r>
        <w:t>1、收入说明</w:t>
      </w:r>
    </w:p>
    <w:p>
      <w:pPr>
        <w:pStyle w:val="18"/>
        <w:keepNext w:val="0"/>
        <w:keepLines w:val="0"/>
        <w:pageBreakBefore w:val="0"/>
        <w:widowControl/>
        <w:kinsoku/>
        <w:wordWrap/>
        <w:overflowPunct/>
        <w:topLinePunct w:val="0"/>
        <w:autoSpaceDE/>
        <w:autoSpaceDN/>
        <w:bidi w:val="0"/>
        <w:adjustRightInd/>
        <w:snapToGrid/>
        <w:textAlignment w:val="auto"/>
      </w:pPr>
      <w:r>
        <w:rPr>
          <w:rFonts w:hint="eastAsia"/>
          <w:lang w:eastAsia="zh-CN"/>
        </w:rPr>
        <w:t>反映本部门当年全部收入。</w:t>
      </w:r>
      <w:r>
        <w:t>2022年预算收入</w:t>
      </w:r>
      <w:r>
        <w:rPr>
          <w:rFonts w:hint="eastAsia"/>
          <w:lang w:val="en-US" w:eastAsia="zh-CN"/>
        </w:rPr>
        <w:t>11137.03万元，</w:t>
      </w:r>
      <w:r>
        <w:t>其中：一般公共预算收入</w:t>
      </w:r>
      <w:r>
        <w:rPr>
          <w:rFonts w:hint="eastAsia"/>
          <w:lang w:val="en-US" w:eastAsia="zh-CN"/>
        </w:rPr>
        <w:t>3593.45</w:t>
      </w:r>
      <w:r>
        <w:t>万元，政府性基金收入7392.58万元，财政专户拨款收入0</w:t>
      </w:r>
      <w:r>
        <w:rPr>
          <w:rFonts w:hint="eastAsia"/>
          <w:lang w:eastAsia="zh-CN"/>
        </w:rPr>
        <w:t>万</w:t>
      </w:r>
      <w:r>
        <w:t>元，其他来源收入0</w:t>
      </w:r>
      <w:r>
        <w:rPr>
          <w:rFonts w:hint="eastAsia"/>
          <w:lang w:eastAsia="zh-CN"/>
        </w:rPr>
        <w:t>万</w:t>
      </w:r>
      <w:r>
        <w:t>元</w:t>
      </w:r>
      <w:r>
        <w:rPr>
          <w:rFonts w:hint="eastAsia"/>
          <w:lang w:eastAsia="zh-CN"/>
        </w:rPr>
        <w:t>，上年结转结余</w:t>
      </w:r>
      <w:r>
        <w:rPr>
          <w:rFonts w:hint="eastAsia"/>
          <w:lang w:val="en-US" w:eastAsia="zh-CN"/>
        </w:rPr>
        <w:t>151万元</w:t>
      </w:r>
      <w:r>
        <w:t>。</w:t>
      </w:r>
    </w:p>
    <w:p>
      <w:pPr>
        <w:pStyle w:val="18"/>
        <w:keepNext w:val="0"/>
        <w:keepLines w:val="0"/>
        <w:pageBreakBefore w:val="0"/>
        <w:widowControl/>
        <w:kinsoku/>
        <w:wordWrap/>
        <w:overflowPunct/>
        <w:topLinePunct w:val="0"/>
        <w:autoSpaceDE/>
        <w:autoSpaceDN/>
        <w:bidi w:val="0"/>
        <w:adjustRightInd/>
        <w:snapToGrid/>
        <w:textAlignment w:val="auto"/>
      </w:pPr>
      <w:r>
        <w:t>2、支出说明</w:t>
      </w:r>
    </w:p>
    <w:p>
      <w:pPr>
        <w:pStyle w:val="18"/>
        <w:keepNext w:val="0"/>
        <w:keepLines w:val="0"/>
        <w:pageBreakBefore w:val="0"/>
        <w:widowControl/>
        <w:kinsoku/>
        <w:wordWrap/>
        <w:overflowPunct/>
        <w:topLinePunct w:val="0"/>
        <w:autoSpaceDE/>
        <w:autoSpaceDN/>
        <w:bidi w:val="0"/>
        <w:adjustRightInd/>
        <w:snapToGrid/>
        <w:textAlignment w:val="auto"/>
      </w:pPr>
      <w:r>
        <w:rPr>
          <w:rFonts w:hint="eastAsia"/>
          <w:lang w:eastAsia="zh-CN"/>
        </w:rPr>
        <w:t>收支预算总表支出栏、基本支出表、项目支出表按经济分类和支出功能分类科目编制，反映高阳县城市管理综合行政执法局年度部门预算中支出预算的总体情况。</w:t>
      </w:r>
      <w:r>
        <w:t>2022年支出预算</w:t>
      </w:r>
      <w:r>
        <w:rPr>
          <w:rFonts w:hint="eastAsia"/>
          <w:lang w:val="en-US" w:eastAsia="zh-CN"/>
        </w:rPr>
        <w:t>11137.03</w:t>
      </w:r>
      <w:r>
        <w:t>万元</w:t>
      </w:r>
      <w:r>
        <w:rPr>
          <w:rFonts w:hint="eastAsia"/>
          <w:lang w:eastAsia="zh-CN"/>
        </w:rPr>
        <w:t>，</w:t>
      </w:r>
      <w:r>
        <w:t>其中：基本支出1762.67万元，包括人员经费1572.73万元和日常公用经费189.94万元；项目支出</w:t>
      </w:r>
      <w:r>
        <w:rPr>
          <w:rFonts w:hint="eastAsia"/>
          <w:lang w:val="en-US" w:eastAsia="zh-CN"/>
        </w:rPr>
        <w:t>9374.36</w:t>
      </w:r>
      <w:r>
        <w:t>万元主要用于执法局城区环卫作业市场化经费、执法局公厕运行维护费、高阳县垃圾运输处理费、执法局农村环卫作业市场化经费、高阳县绿道绿廊建设、执法局垃圾中转站运行维护费、执法局数字化城管运行经费、执法局执法专项经费</w:t>
      </w:r>
      <w:r>
        <w:rPr>
          <w:rFonts w:hint="eastAsia"/>
          <w:lang w:eastAsia="zh-CN"/>
        </w:rPr>
        <w:t>等</w:t>
      </w:r>
      <w:r>
        <w:t>专项业务活动。</w:t>
      </w:r>
    </w:p>
    <w:p>
      <w:pPr>
        <w:pStyle w:val="18"/>
        <w:keepNext w:val="0"/>
        <w:keepLines w:val="0"/>
        <w:pageBreakBefore w:val="0"/>
        <w:widowControl/>
        <w:kinsoku/>
        <w:wordWrap/>
        <w:overflowPunct/>
        <w:topLinePunct w:val="0"/>
        <w:autoSpaceDE/>
        <w:autoSpaceDN/>
        <w:bidi w:val="0"/>
        <w:adjustRightInd/>
        <w:snapToGrid/>
        <w:textAlignment w:val="auto"/>
      </w:pPr>
      <w:r>
        <w:t>3、与上年增减情况</w:t>
      </w:r>
    </w:p>
    <w:p>
      <w:pPr>
        <w:pStyle w:val="18"/>
      </w:pPr>
      <w:r>
        <w:t>2022年预算收支安排</w:t>
      </w:r>
      <w:r>
        <w:rPr>
          <w:rFonts w:hint="eastAsia"/>
          <w:lang w:val="en-US" w:eastAsia="zh-CN"/>
        </w:rPr>
        <w:t>11137.03</w:t>
      </w:r>
      <w:r>
        <w:t>万元，较2021年预算增加</w:t>
      </w:r>
      <w:r>
        <w:rPr>
          <w:rFonts w:hint="eastAsia"/>
          <w:lang w:val="en-US" w:eastAsia="zh-CN"/>
        </w:rPr>
        <w:t>658.7</w:t>
      </w:r>
      <w:r>
        <w:t>万元。其中：基本支出减少20.86万元，主要是减少人员经费支出；项目支出增加</w:t>
      </w:r>
      <w:r>
        <w:rPr>
          <w:rFonts w:hint="eastAsia"/>
          <w:lang w:val="en-US" w:eastAsia="zh-CN"/>
        </w:rPr>
        <w:t>679</w:t>
      </w:r>
      <w:r>
        <w:t>.56万元，主要是增加颛顼公园水源井对接市政管网工程、高阳县城市景观建设及改造提升监理费、政府院内绿化工程、朝阳园和仝合园提升工程、城区亮化工程、2019-2021年公园养护管理和防护林养护等项目经费支出。</w:t>
      </w:r>
    </w:p>
    <w:p>
      <w:pPr>
        <w:keepNext w:val="0"/>
        <w:keepLines w:val="0"/>
        <w:pageBreakBefore w:val="0"/>
        <w:widowControl/>
        <w:kinsoku/>
        <w:wordWrap/>
        <w:overflowPunct/>
        <w:topLinePunct w:val="0"/>
        <w:autoSpaceDE/>
        <w:autoSpaceDN/>
        <w:bidi w:val="0"/>
        <w:adjustRightInd/>
        <w:snapToGrid/>
        <w:spacing w:before="0" w:beforeLines="50" w:after="0" w:afterLines="50" w:line="240" w:lineRule="auto"/>
        <w:ind w:firstLine="641"/>
        <w:textAlignment w:val="auto"/>
        <w:outlineLvl w:val="2"/>
      </w:pPr>
      <w:bookmarkStart w:id="11" w:name="_Toc_3_3_0000000012"/>
      <w:r>
        <w:rPr>
          <w:rFonts w:ascii="黑体" w:hAnsi="黑体" w:eastAsia="黑体" w:cs="黑体"/>
          <w:color w:val="000000"/>
          <w:sz w:val="32"/>
        </w:rPr>
        <w:t>三、机关运行经费安排情况</w:t>
      </w:r>
      <w:bookmarkEnd w:id="11"/>
    </w:p>
    <w:p>
      <w:pPr>
        <w:pStyle w:val="19"/>
        <w:rPr>
          <w:rFonts w:hint="default" w:eastAsia="方正仿宋_GBK"/>
          <w:lang w:val="en-US" w:eastAsia="zh-CN"/>
        </w:rPr>
      </w:pPr>
      <w:r>
        <w:t>2022年，</w:t>
      </w:r>
      <w:r>
        <w:rPr>
          <w:rFonts w:hint="eastAsia"/>
          <w:lang w:eastAsia="zh-CN"/>
        </w:rPr>
        <w:t>高阳县城市管理综合行政执法局</w:t>
      </w:r>
      <w:r>
        <w:t>机关运行经费共计安排18</w:t>
      </w:r>
      <w:r>
        <w:rPr>
          <w:rFonts w:hint="eastAsia"/>
          <w:lang w:val="en-US" w:eastAsia="zh-CN"/>
        </w:rPr>
        <w:t>8.64</w:t>
      </w:r>
      <w:r>
        <w:t>万元，其中：办公费21.3万元、电费10万元、邮电费</w:t>
      </w:r>
      <w:r>
        <w:rPr>
          <w:rFonts w:hint="eastAsia"/>
          <w:lang w:val="en-US" w:eastAsia="zh-CN"/>
        </w:rPr>
        <w:t>36.42</w:t>
      </w:r>
      <w:r>
        <w:t>万元、印刷费4.41万元、咨询费1万元、手续费0.5万元、取暖费</w:t>
      </w:r>
      <w:r>
        <w:rPr>
          <w:rFonts w:hint="eastAsia"/>
          <w:lang w:eastAsia="zh-CN"/>
        </w:rPr>
        <w:t>10.5</w:t>
      </w:r>
      <w:r>
        <w:t>万元、差旅费5万元、维修（护）费5万元、租赁费22万元、劳务费3.38万元、公务用车运行维护费11.05万元、工会经费24.45万元、福利费21.45万元、办公设备购置6万元、其他交通费用4.44万元</w:t>
      </w:r>
      <w:r>
        <w:rPr>
          <w:rFonts w:hint="eastAsia"/>
          <w:lang w:eastAsia="zh-CN"/>
        </w:rPr>
        <w:t>，其他商品和服务支出</w:t>
      </w:r>
      <w:r>
        <w:rPr>
          <w:rFonts w:hint="eastAsia"/>
          <w:lang w:val="en-US" w:eastAsia="zh-CN"/>
        </w:rPr>
        <w:t>1.74万元。</w:t>
      </w:r>
    </w:p>
    <w:p>
      <w:pPr>
        <w:keepNext w:val="0"/>
        <w:keepLines w:val="0"/>
        <w:pageBreakBefore w:val="0"/>
        <w:widowControl/>
        <w:kinsoku/>
        <w:wordWrap/>
        <w:overflowPunct/>
        <w:topLinePunct w:val="0"/>
        <w:autoSpaceDE/>
        <w:autoSpaceDN/>
        <w:bidi w:val="0"/>
        <w:adjustRightInd/>
        <w:snapToGrid/>
        <w:spacing w:before="0" w:beforeLines="50" w:after="0" w:afterLines="50" w:line="240" w:lineRule="auto"/>
        <w:ind w:firstLine="641"/>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2022年，</w:t>
      </w:r>
      <w:r>
        <w:rPr>
          <w:rFonts w:hint="eastAsia"/>
          <w:lang w:eastAsia="zh-CN"/>
        </w:rPr>
        <w:t>高阳县城市管理综合行政执法局</w:t>
      </w:r>
      <w:r>
        <w:t>“三公”经费预算安排12.35万元，与2021年相比增加1.43万元。其中：因公出国（境）支出0</w:t>
      </w:r>
      <w:r>
        <w:rPr>
          <w:rFonts w:hint="eastAsia"/>
          <w:lang w:eastAsia="zh-CN"/>
        </w:rPr>
        <w:t>万</w:t>
      </w:r>
      <w:r>
        <w:t>元，与上年持平；公务用车购置支出为0</w:t>
      </w:r>
      <w:r>
        <w:rPr>
          <w:rFonts w:hint="eastAsia"/>
          <w:lang w:eastAsia="zh-CN"/>
        </w:rPr>
        <w:t>万</w:t>
      </w:r>
      <w:r>
        <w:t>元，与上年持平；公务用车运行维护支出11.05万元，比上年增加1.55万元（2021年中新增公务用车1辆）；公务接待支出1.3万元，比上一年减少0.12万元（按照三公经费逐年递减，控制公务接待支出）。</w:t>
      </w:r>
    </w:p>
    <w:p>
      <w:pPr>
        <w:keepNext w:val="0"/>
        <w:keepLines w:val="0"/>
        <w:pageBreakBefore w:val="0"/>
        <w:widowControl/>
        <w:kinsoku/>
        <w:wordWrap/>
        <w:overflowPunct/>
        <w:topLinePunct w:val="0"/>
        <w:autoSpaceDE/>
        <w:autoSpaceDN/>
        <w:bidi w:val="0"/>
        <w:adjustRightInd/>
        <w:snapToGrid/>
        <w:spacing w:before="100" w:after="100" w:line="360" w:lineRule="auto"/>
        <w:ind w:firstLine="641"/>
        <w:textAlignment w:val="auto"/>
        <w:outlineLvl w:val="2"/>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2022年</w:t>
      </w:r>
      <w:r>
        <w:rPr>
          <w:rFonts w:hint="eastAsia"/>
          <w:lang w:eastAsia="zh-CN"/>
        </w:rPr>
        <w:t>我部门将</w:t>
      </w:r>
      <w:r>
        <w:t>继续按照《高阳县城市精细化管理标准（实行）》要求，对城区实施全方位综合管理，进一步提升城市精细化管理水平；做好全县城乡环境卫生工作，巩固我县“洁净城市”创建成果，让城乡环境卫生更加干净整洁；加强城市容貌综合整治，实现市容秩序整齐、无乱停乱放、违规搭建、超标排油烟、三轮车违法营运等违反城市管理法规的行为，创建秩序城市；进一步加强城区园林绿化管理，提升街头游园品味、健全基础设施建设，提高公园绿地的养护管理水平，提升公园绿地品质，为民众提供更好的休闲游憩空间。</w:t>
      </w:r>
    </w:p>
    <w:p>
      <w:pPr>
        <w:spacing w:line="500" w:lineRule="exact"/>
        <w:ind w:firstLine="560"/>
      </w:pPr>
      <w:r>
        <w:rPr>
          <w:rFonts w:eastAsia="方正仿宋_GBK"/>
          <w:color w:val="000000"/>
          <w:sz w:val="28"/>
        </w:rPr>
        <w:t>（二）分项绩效目标</w:t>
      </w:r>
    </w:p>
    <w:p>
      <w:pPr>
        <w:pStyle w:val="22"/>
      </w:pPr>
      <w:r>
        <w:rPr>
          <w:rFonts w:hint="eastAsia"/>
          <w:lang w:val="en-US" w:eastAsia="zh-CN"/>
        </w:rPr>
        <w:t>1、</w:t>
      </w:r>
      <w:r>
        <w:t>加强城乡环境卫生管理工作</w:t>
      </w:r>
    </w:p>
    <w:p>
      <w:pPr>
        <w:pStyle w:val="22"/>
      </w:pPr>
      <w:r>
        <w:t>绩效目标：改善环境卫生，巩固“洁净城市”创建成果。</w:t>
      </w:r>
    </w:p>
    <w:p>
      <w:pPr>
        <w:pStyle w:val="22"/>
      </w:pPr>
      <w:r>
        <w:t>绩效指标：对全县123个村及城区（含15个城中村）主要街道、连村公路、河堤两岸进行清扫保洁和垃圾收集清运；生活垃圾做到日产日清；保障城区范围内17座公厕的正常运转；城区机械化清扫率达到85%以上；建设1座垃圾转运站。</w:t>
      </w:r>
    </w:p>
    <w:p>
      <w:pPr>
        <w:pStyle w:val="22"/>
      </w:pPr>
      <w:r>
        <w:rPr>
          <w:rFonts w:hint="eastAsia"/>
          <w:lang w:val="en-US" w:eastAsia="zh-CN"/>
        </w:rPr>
        <w:t>2、</w:t>
      </w:r>
      <w:r>
        <w:t>城市容貌环境综合整治工作</w:t>
      </w:r>
    </w:p>
    <w:p>
      <w:pPr>
        <w:pStyle w:val="22"/>
      </w:pPr>
      <w:r>
        <w:t>绩效目标：城市精细化管理，创造良好市容市貌</w:t>
      </w:r>
    </w:p>
    <w:p>
      <w:pPr>
        <w:pStyle w:val="22"/>
      </w:pPr>
      <w:r>
        <w:t>绩效指标：进一步规范城市秩序、整治裸露土地，保持街道市容整洁、美观；运用数字化平台系统实现对城市“科学、雅阁、精细、长效”的管理，实现城市管理服务水平信息共享率100%；加强日常巡查管控，对各类城市管理过程中的违法行为进行大力整治，违规建设与经营问题解决率达到90%以上。</w:t>
      </w:r>
    </w:p>
    <w:p>
      <w:pPr>
        <w:pStyle w:val="22"/>
      </w:pPr>
      <w:r>
        <w:rPr>
          <w:rFonts w:hint="eastAsia"/>
          <w:lang w:val="en-US" w:eastAsia="zh-CN"/>
        </w:rPr>
        <w:t>3、</w:t>
      </w:r>
      <w:r>
        <w:t>园林绿化管理工作</w:t>
      </w:r>
    </w:p>
    <w:p>
      <w:pPr>
        <w:pStyle w:val="22"/>
      </w:pPr>
      <w:r>
        <w:t>绩效目标：美化城市，提升景观，提高生活质量。</w:t>
      </w:r>
    </w:p>
    <w:p>
      <w:pPr>
        <w:pStyle w:val="22"/>
      </w:pPr>
      <w:r>
        <w:t>绩效指标：保障城区范围内3个公园及绿地养护工作正常运行；城市主要街道两侧建筑物亮化率达到85%以上；提升绿化管理养护水平，推动城市生态环境良好</w:t>
      </w:r>
      <w:r>
        <w:rPr>
          <w:rFonts w:hint="eastAsia"/>
          <w:lang w:eastAsia="zh-CN"/>
        </w:rPr>
        <w:t>循环</w:t>
      </w:r>
      <w:r>
        <w:t>，打造宜居、宜游的城市环境。</w:t>
      </w:r>
    </w:p>
    <w:p>
      <w:pPr>
        <w:spacing w:line="500" w:lineRule="exact"/>
        <w:ind w:firstLine="560"/>
      </w:pPr>
      <w:r>
        <w:rPr>
          <w:rFonts w:eastAsia="方正仿宋_GBK"/>
          <w:color w:val="000000"/>
          <w:sz w:val="28"/>
        </w:rPr>
        <w:t>（三）工作保障措施</w:t>
      </w:r>
    </w:p>
    <w:p>
      <w:pPr>
        <w:pStyle w:val="23"/>
      </w:pPr>
      <w:r>
        <w:rPr>
          <w:rFonts w:hint="eastAsia"/>
          <w:lang w:val="en-US" w:eastAsia="zh-CN"/>
        </w:rPr>
        <w:t>1、</w:t>
      </w:r>
      <w:r>
        <w:t>完善制度建设。</w:t>
      </w:r>
    </w:p>
    <w:p>
      <w:pPr>
        <w:pStyle w:val="23"/>
      </w:pPr>
      <w:r>
        <w:t>为贯彻落实全面实施预算绩效管理机制，推进部门预算绩效管理工作，提高部门预算编制的科学性、合理性、规范性，规范合理使用预算资金，高阳县城市管理综合行政执法局制定了完善的预算绩效管理制度、出台预算绩效管理办法，完善资金管理办法、工作保障制度等，为全年预算绩效目标的实现奠定制度基础。</w:t>
      </w:r>
    </w:p>
    <w:p>
      <w:pPr>
        <w:pStyle w:val="23"/>
      </w:pPr>
      <w:r>
        <w:rPr>
          <w:rFonts w:hint="eastAsia"/>
          <w:lang w:val="en-US" w:eastAsia="zh-CN"/>
        </w:rPr>
        <w:t>2、</w:t>
      </w:r>
      <w:r>
        <w:t>加强支出管理。</w:t>
      </w:r>
    </w:p>
    <w:p>
      <w:pPr>
        <w:pStyle w:val="23"/>
      </w:pPr>
      <w:r>
        <w:t>根据年度工作计划安排，通过优化支出结构，合理确定项目支出进度、细化支出项目，编细编实预算、加快履行政府采购手续、按照年初计划安排尽快启动项目、及时支付资金、按规定及时下达资金等多种措施，确保支出进度达标。</w:t>
      </w:r>
    </w:p>
    <w:p>
      <w:pPr>
        <w:pStyle w:val="23"/>
      </w:pPr>
      <w:r>
        <w:rPr>
          <w:rFonts w:hint="eastAsia"/>
          <w:lang w:val="en-US" w:eastAsia="zh-CN"/>
        </w:rPr>
        <w:t>3、</w:t>
      </w:r>
      <w:r>
        <w:t>加强绩效运行监控。</w:t>
      </w:r>
    </w:p>
    <w:p>
      <w:pPr>
        <w:pStyle w:val="23"/>
      </w:pPr>
      <w:r>
        <w:t>按要求开展绩效运行监控，合理利用和报送绩效监控结果，发现问题及时采取措施，确保绩效目标如期保质实现。</w:t>
      </w:r>
    </w:p>
    <w:p>
      <w:pPr>
        <w:pStyle w:val="23"/>
      </w:pPr>
      <w:r>
        <w:rPr>
          <w:rFonts w:hint="eastAsia"/>
          <w:lang w:val="en-US" w:eastAsia="zh-CN"/>
        </w:rPr>
        <w:t>4、</w:t>
      </w:r>
      <w:r>
        <w:t>做好绩效自评。</w:t>
      </w:r>
    </w:p>
    <w:p>
      <w:pPr>
        <w:pStyle w:val="23"/>
      </w:pPr>
      <w:r>
        <w:t>按要求开展上年度部门预算绩效自评和重点评价工作，对评价中发现的问题及时整改，调整优化支出结构，提高财政资金使用效益。</w:t>
      </w:r>
    </w:p>
    <w:p>
      <w:pPr>
        <w:pStyle w:val="23"/>
      </w:pPr>
      <w:r>
        <w:rPr>
          <w:rFonts w:hint="eastAsia"/>
          <w:lang w:val="en-US" w:eastAsia="zh-CN"/>
        </w:rPr>
        <w:t>5、</w:t>
      </w:r>
      <w:r>
        <w:t>规范财务资产管理。</w:t>
      </w:r>
    </w:p>
    <w:p>
      <w:pPr>
        <w:pStyle w:val="23"/>
      </w:pPr>
      <w:r>
        <w:t>完善财务管理制度，严格审批程序，加强固定资产登记、使用和报废处置管理，做到支出合理，物尽其用。</w:t>
      </w:r>
    </w:p>
    <w:p>
      <w:pPr>
        <w:pStyle w:val="23"/>
      </w:pPr>
      <w:r>
        <w:rPr>
          <w:rFonts w:hint="eastAsia"/>
          <w:lang w:val="en-US" w:eastAsia="zh-CN"/>
        </w:rPr>
        <w:t>6、</w:t>
      </w:r>
      <w:r>
        <w:t>加强内部监督。</w:t>
      </w:r>
    </w:p>
    <w:p>
      <w:pPr>
        <w:pStyle w:val="23"/>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rPr>
          <w:rFonts w:hint="eastAsia"/>
          <w:lang w:val="en-US" w:eastAsia="zh-CN"/>
        </w:rPr>
        <w:t>7、</w:t>
      </w:r>
      <w:r>
        <w:t>加强宣传培训调研等。</w:t>
      </w:r>
    </w:p>
    <w:p>
      <w:pPr>
        <w:pStyle w:val="23"/>
        <w:rPr>
          <w:rFonts w:ascii="方正楷体_GBK" w:hAnsi="方正楷体_GBK" w:eastAsia="方正楷体_GBK" w:cs="方正楷体_GBK"/>
          <w:b/>
          <w:color w:val="000000"/>
          <w:sz w:val="32"/>
        </w:rPr>
      </w:pPr>
      <w:r>
        <w:t>加强人员培训，提高本部门业务骨干预算编制、绩效目标设定、项目监管的业务素质；加强调研，提出优化财政资金配置、提高资金使用效益的意见；加大宣传力度，强化预算绩效管理意识，促进预算绩效管理水平进一步提升。</w:t>
      </w:r>
    </w:p>
    <w:p>
      <w:pPr>
        <w:numPr>
          <w:ilvl w:val="0"/>
          <w:numId w:val="1"/>
        </w:numPr>
        <w:ind w:left="-10" w:leftChars="0" w:firstLine="640" w:firstLineChars="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方正仿宋_GBK" w:asciiTheme="minorHAnsi" w:hAnsiTheme="minorHAnsi" w:cstheme="minorBidi"/>
          <w:kern w:val="2"/>
          <w:sz w:val="28"/>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eastAsia="方正仿宋_GBK" w:asciiTheme="minorHAnsi" w:hAnsiTheme="minorHAnsi" w:cstheme="minorBidi"/>
          <w:kern w:val="2"/>
          <w:sz w:val="28"/>
          <w:szCs w:val="24"/>
          <w:lang w:val="en-US" w:eastAsia="zh-CN" w:bidi="ar-SA"/>
        </w:rPr>
      </w:pPr>
      <w:r>
        <w:rPr>
          <w:rFonts w:hint="eastAsia" w:eastAsia="方正仿宋_GBK" w:asciiTheme="minorHAnsi" w:hAnsiTheme="minorHAnsi" w:cstheme="minorBidi"/>
          <w:kern w:val="2"/>
          <w:sz w:val="28"/>
          <w:szCs w:val="24"/>
          <w:lang w:val="en-US" w:eastAsia="zh-CN" w:bidi="ar-SA"/>
        </w:rPr>
        <w:t>无</w:t>
      </w:r>
    </w:p>
    <w:p>
      <w:pPr>
        <w:pStyle w:val="24"/>
        <w:ind w:firstLine="640"/>
        <w:rPr>
          <w:rFonts w:ascii="方正楷体_GBK" w:hAnsi="方正楷体_GBK" w:eastAsia="方正楷体_GBK" w:cs="方正楷体_GBK"/>
          <w:b/>
          <w:color w:val="000000"/>
          <w:sz w:val="32"/>
        </w:rPr>
      </w:pPr>
    </w:p>
    <w:p>
      <w:pPr>
        <w:pStyle w:val="24"/>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第三部分  预算项目绩效目标</w:t>
      </w: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1、2019年-2021年公园养护管理和防护林养护绩效目标表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1.保持并完善三座公园的绿地景观效果</w:t>
            </w:r>
          </w:p>
          <w:p>
            <w:pPr>
              <w:pStyle w:val="26"/>
            </w:pPr>
            <w:r>
              <w:t>2.确保养护绿地、行道树更加整洁、优美、有序，进一步巩固绿化成果，提升城市品质，为市民提供强身健体的休闲、娱乐环境</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养护公园数量</w:t>
            </w:r>
          </w:p>
        </w:tc>
        <w:tc>
          <w:tcPr>
            <w:tcW w:w="2835" w:type="dxa"/>
            <w:vAlign w:val="center"/>
          </w:tcPr>
          <w:p>
            <w:pPr>
              <w:pStyle w:val="26"/>
            </w:pPr>
            <w:r>
              <w:t>进行全覆盖养护管理工作的公园数量</w:t>
            </w:r>
          </w:p>
        </w:tc>
        <w:tc>
          <w:tcPr>
            <w:tcW w:w="2551" w:type="dxa"/>
            <w:vAlign w:val="center"/>
          </w:tcPr>
          <w:p>
            <w:pPr>
              <w:pStyle w:val="26"/>
            </w:pPr>
            <w:r>
              <w:t>3座</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绿化成活率</w:t>
            </w:r>
          </w:p>
        </w:tc>
        <w:tc>
          <w:tcPr>
            <w:tcW w:w="2835" w:type="dxa"/>
            <w:vAlign w:val="center"/>
          </w:tcPr>
          <w:p>
            <w:pPr>
              <w:pStyle w:val="26"/>
            </w:pPr>
            <w:r>
              <w:t>反映种植苗木成活情况</w:t>
            </w:r>
          </w:p>
        </w:tc>
        <w:tc>
          <w:tcPr>
            <w:tcW w:w="2551" w:type="dxa"/>
            <w:vAlign w:val="center"/>
          </w:tcPr>
          <w:p>
            <w:pPr>
              <w:pStyle w:val="26"/>
            </w:pPr>
            <w:r>
              <w:t>≥95%</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工作完成及时率</w:t>
            </w:r>
          </w:p>
        </w:tc>
        <w:tc>
          <w:tcPr>
            <w:tcW w:w="2835" w:type="dxa"/>
            <w:vAlign w:val="center"/>
          </w:tcPr>
          <w:p>
            <w:pPr>
              <w:pStyle w:val="26"/>
            </w:pPr>
            <w:r>
              <w:t>反映各项任务完成及时情况</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居民投诉率</w:t>
            </w:r>
          </w:p>
        </w:tc>
        <w:tc>
          <w:tcPr>
            <w:tcW w:w="2835" w:type="dxa"/>
            <w:vAlign w:val="center"/>
          </w:tcPr>
          <w:p>
            <w:pPr>
              <w:pStyle w:val="26"/>
            </w:pPr>
            <w:r>
              <w:t>反映公园养护管理及防护林养护居民的投诉情况</w:t>
            </w:r>
          </w:p>
        </w:tc>
        <w:tc>
          <w:tcPr>
            <w:tcW w:w="2551" w:type="dxa"/>
            <w:vAlign w:val="center"/>
          </w:tcPr>
          <w:p>
            <w:pPr>
              <w:pStyle w:val="26"/>
            </w:pPr>
            <w:r>
              <w:t>≤10%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受访群众达到基本满意以上人数与全体受访人数的比值</w:t>
            </w:r>
          </w:p>
        </w:tc>
        <w:tc>
          <w:tcPr>
            <w:tcW w:w="2551" w:type="dxa"/>
            <w:vAlign w:val="center"/>
          </w:tcPr>
          <w:p>
            <w:pPr>
              <w:pStyle w:val="26"/>
            </w:pPr>
            <w:r>
              <w:t>≥95%</w:t>
            </w:r>
          </w:p>
        </w:tc>
        <w:tc>
          <w:tcPr>
            <w:tcW w:w="2268" w:type="dxa"/>
            <w:vAlign w:val="center"/>
          </w:tcPr>
          <w:p>
            <w:pPr>
              <w:pStyle w:val="26"/>
            </w:pPr>
            <w:r>
              <w:t>问卷调查</w:t>
            </w:r>
          </w:p>
        </w:tc>
      </w:tr>
    </w:tbl>
    <w:p>
      <w:pPr>
        <w:pStyle w:val="24"/>
        <w:ind w:firstLine="560"/>
        <w:rPr>
          <w:rFonts w:hint="eastAsia" w:ascii="方正仿宋_GBK" w:hAnsi="方正仿宋_GBK" w:eastAsia="方正仿宋_GBK" w:cs="方正仿宋_GBK"/>
          <w:b/>
          <w:color w:val="000000"/>
          <w:sz w:val="28"/>
          <w:lang w:val="en-US" w:eastAsia="zh-CN"/>
        </w:rPr>
      </w:pPr>
    </w:p>
    <w:p>
      <w:pPr>
        <w:pStyle w:val="24"/>
        <w:ind w:firstLine="562" w:firstLineChars="200"/>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、2019年度公共厕所新建及改建三位一体项目绩效目标表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1.提升城市形象，在高阳县城区建设7座高标准公共厕所</w:t>
            </w:r>
          </w:p>
          <w:p>
            <w:pPr>
              <w:pStyle w:val="26"/>
            </w:pPr>
            <w:r>
              <w:t>2.加强基础设施建设，展示城市文明，让居民“方便”更方便</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建成公厕数量</w:t>
            </w:r>
          </w:p>
        </w:tc>
        <w:tc>
          <w:tcPr>
            <w:tcW w:w="2835" w:type="dxa"/>
            <w:vAlign w:val="center"/>
          </w:tcPr>
          <w:p>
            <w:pPr>
              <w:pStyle w:val="26"/>
            </w:pPr>
            <w:r>
              <w:t>反映建成公厕数量情况</w:t>
            </w:r>
          </w:p>
        </w:tc>
        <w:tc>
          <w:tcPr>
            <w:tcW w:w="2551" w:type="dxa"/>
            <w:vAlign w:val="center"/>
          </w:tcPr>
          <w:p>
            <w:pPr>
              <w:pStyle w:val="26"/>
            </w:pPr>
            <w:r>
              <w:t>7座</w:t>
            </w:r>
          </w:p>
        </w:tc>
        <w:tc>
          <w:tcPr>
            <w:tcW w:w="2268" w:type="dxa"/>
            <w:vAlign w:val="center"/>
          </w:tcPr>
          <w:p>
            <w:pPr>
              <w:pStyle w:val="26"/>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工程验收合格率</w:t>
            </w:r>
          </w:p>
        </w:tc>
        <w:tc>
          <w:tcPr>
            <w:tcW w:w="2835" w:type="dxa"/>
            <w:vAlign w:val="center"/>
          </w:tcPr>
          <w:p>
            <w:pPr>
              <w:pStyle w:val="26"/>
            </w:pPr>
            <w:r>
              <w:t>通过验收的建设工程占全部建设工程的比例</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资金支付及时率</w:t>
            </w:r>
          </w:p>
        </w:tc>
        <w:tc>
          <w:tcPr>
            <w:tcW w:w="2835" w:type="dxa"/>
            <w:vAlign w:val="center"/>
          </w:tcPr>
          <w:p>
            <w:pPr>
              <w:pStyle w:val="26"/>
            </w:pPr>
            <w:r>
              <w:t>反映资金支付的及时性状况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居民投诉率</w:t>
            </w:r>
          </w:p>
        </w:tc>
        <w:tc>
          <w:tcPr>
            <w:tcW w:w="2835" w:type="dxa"/>
            <w:vAlign w:val="center"/>
          </w:tcPr>
          <w:p>
            <w:pPr>
              <w:pStyle w:val="26"/>
            </w:pPr>
            <w:r>
              <w:t>反映公厕投入使用后对城市公共基础设施的影响情况，居民的投诉情况</w:t>
            </w:r>
          </w:p>
        </w:tc>
        <w:tc>
          <w:tcPr>
            <w:tcW w:w="2551" w:type="dxa"/>
            <w:vAlign w:val="center"/>
          </w:tcPr>
          <w:p>
            <w:pPr>
              <w:pStyle w:val="26"/>
            </w:pPr>
            <w:r>
              <w:t>≤10%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受访群众达到基本满意以上人数与全体受访人数的比值</w:t>
            </w:r>
          </w:p>
        </w:tc>
        <w:tc>
          <w:tcPr>
            <w:tcW w:w="2551" w:type="dxa"/>
            <w:vAlign w:val="center"/>
          </w:tcPr>
          <w:p>
            <w:pPr>
              <w:pStyle w:val="26"/>
            </w:pPr>
            <w:r>
              <w:t>≥95%</w:t>
            </w:r>
          </w:p>
        </w:tc>
        <w:tc>
          <w:tcPr>
            <w:tcW w:w="2268" w:type="dxa"/>
            <w:vAlign w:val="center"/>
          </w:tcPr>
          <w:p>
            <w:pPr>
              <w:pStyle w:val="26"/>
            </w:pPr>
            <w:r>
              <w:t>年度工作计划</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、朝阳园和仝和园提升工程绩效目标表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1.完善考核指标，完成朝阳园和仝合园的改造提升</w:t>
            </w:r>
          </w:p>
          <w:p>
            <w:pPr>
              <w:pStyle w:val="26"/>
            </w:pPr>
            <w:r>
              <w:t>2.提升城市景观、增加城区绿地面积，为居民提供良好的休憩健身场所</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灌木完成数量</w:t>
            </w:r>
          </w:p>
        </w:tc>
        <w:tc>
          <w:tcPr>
            <w:tcW w:w="2835" w:type="dxa"/>
            <w:vAlign w:val="center"/>
          </w:tcPr>
          <w:p>
            <w:pPr>
              <w:pStyle w:val="26"/>
            </w:pPr>
            <w:r>
              <w:t>新增乔灌木数量</w:t>
            </w:r>
          </w:p>
        </w:tc>
        <w:tc>
          <w:tcPr>
            <w:tcW w:w="2551" w:type="dxa"/>
            <w:vAlign w:val="center"/>
          </w:tcPr>
          <w:p>
            <w:pPr>
              <w:pStyle w:val="26"/>
            </w:pPr>
            <w:r>
              <w:t>≥350株</w:t>
            </w:r>
          </w:p>
        </w:tc>
        <w:tc>
          <w:tcPr>
            <w:tcW w:w="2268" w:type="dxa"/>
            <w:vAlign w:val="center"/>
          </w:tcPr>
          <w:p>
            <w:pPr>
              <w:pStyle w:val="26"/>
            </w:pPr>
            <w:r>
              <w:t>施工工作计划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通过质量验收的面积占全部施工面积的比值</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 xml:space="preserve"> 建设工期内完成率</w:t>
            </w:r>
          </w:p>
        </w:tc>
        <w:tc>
          <w:tcPr>
            <w:tcW w:w="2835" w:type="dxa"/>
            <w:vAlign w:val="center"/>
          </w:tcPr>
          <w:p>
            <w:pPr>
              <w:pStyle w:val="26"/>
            </w:pPr>
            <w:r>
              <w:t>合同约定开工至完工所经历的时间（10天内）</w:t>
            </w:r>
          </w:p>
        </w:tc>
        <w:tc>
          <w:tcPr>
            <w:tcW w:w="2551"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居民投诉率</w:t>
            </w:r>
          </w:p>
        </w:tc>
        <w:tc>
          <w:tcPr>
            <w:tcW w:w="2835" w:type="dxa"/>
            <w:vAlign w:val="center"/>
          </w:tcPr>
          <w:p>
            <w:pPr>
              <w:pStyle w:val="26"/>
            </w:pPr>
            <w:r>
              <w:t>反映朝阳园和仝合园的改造提升的投诉情况</w:t>
            </w:r>
          </w:p>
        </w:tc>
        <w:tc>
          <w:tcPr>
            <w:tcW w:w="2551" w:type="dxa"/>
            <w:vAlign w:val="center"/>
          </w:tcPr>
          <w:p>
            <w:pPr>
              <w:pStyle w:val="26"/>
            </w:pPr>
            <w:r>
              <w:t>≤10%</w:t>
            </w:r>
          </w:p>
        </w:tc>
        <w:tc>
          <w:tcPr>
            <w:tcW w:w="2268" w:type="dxa"/>
            <w:vAlign w:val="center"/>
          </w:tcPr>
          <w:p>
            <w:pPr>
              <w:pStyle w:val="26"/>
            </w:pPr>
            <w:r>
              <w:t>年度工作计划</w:t>
            </w:r>
          </w:p>
        </w:tc>
      </w:tr>
    </w:tbl>
    <w:p>
      <w:pPr>
        <w:pStyle w:val="24"/>
        <w:ind w:firstLine="560"/>
        <w:rPr>
          <w:rFonts w:hint="eastAsia" w:ascii="方正仿宋_GBK" w:hAnsi="方正仿宋_GBK" w:eastAsia="方正仿宋_GBK" w:cs="方正仿宋_GBK"/>
          <w:b/>
          <w:color w:val="000000"/>
          <w:sz w:val="28"/>
          <w:lang w:val="en-US" w:eastAsia="zh-CN"/>
        </w:rPr>
      </w:pPr>
    </w:p>
    <w:p>
      <w:pPr>
        <w:pStyle w:val="24"/>
        <w:ind w:firstLine="560"/>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、城区公厕、环卫及园林绿化水费绩效目标表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保障城区公厕、环卫清扫及园林绿化养护正常用水</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公厕正常用水数量</w:t>
            </w:r>
          </w:p>
        </w:tc>
        <w:tc>
          <w:tcPr>
            <w:tcW w:w="2835" w:type="dxa"/>
            <w:vAlign w:val="center"/>
          </w:tcPr>
          <w:p>
            <w:pPr>
              <w:pStyle w:val="26"/>
            </w:pPr>
            <w:r>
              <w:t>城区范围内正常用水的公厕数量</w:t>
            </w:r>
          </w:p>
        </w:tc>
        <w:tc>
          <w:tcPr>
            <w:tcW w:w="2551" w:type="dxa"/>
            <w:vAlign w:val="center"/>
          </w:tcPr>
          <w:p>
            <w:pPr>
              <w:pStyle w:val="26"/>
            </w:pPr>
            <w:r>
              <w:t>17座</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水质达标率</w:t>
            </w:r>
          </w:p>
        </w:tc>
        <w:tc>
          <w:tcPr>
            <w:tcW w:w="2835" w:type="dxa"/>
            <w:vAlign w:val="center"/>
          </w:tcPr>
          <w:p>
            <w:pPr>
              <w:pStyle w:val="26"/>
            </w:pPr>
            <w:r>
              <w:t>反映绿化用水水质情况</w:t>
            </w:r>
          </w:p>
        </w:tc>
        <w:tc>
          <w:tcPr>
            <w:tcW w:w="2551" w:type="dxa"/>
            <w:vAlign w:val="center"/>
          </w:tcPr>
          <w:p>
            <w:pPr>
              <w:pStyle w:val="26"/>
            </w:pPr>
            <w:r>
              <w:t>≥80%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 xml:space="preserve"> 资金支付及时率</w:t>
            </w:r>
          </w:p>
        </w:tc>
        <w:tc>
          <w:tcPr>
            <w:tcW w:w="2835" w:type="dxa"/>
            <w:vAlign w:val="center"/>
          </w:tcPr>
          <w:p>
            <w:pPr>
              <w:pStyle w:val="26"/>
            </w:pPr>
            <w:r>
              <w:t>反映资金支付的及时性状况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w:t>
            </w:r>
            <w:r>
              <w:rPr>
                <w:rFonts w:hint="eastAsia"/>
                <w:lang w:eastAsia="zh-CN"/>
              </w:rPr>
              <w:t>的</w:t>
            </w:r>
            <w:r>
              <w:t>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工作开展效果的持续性</w:t>
            </w:r>
          </w:p>
        </w:tc>
        <w:tc>
          <w:tcPr>
            <w:tcW w:w="2835" w:type="dxa"/>
            <w:vAlign w:val="center"/>
          </w:tcPr>
          <w:p>
            <w:pPr>
              <w:pStyle w:val="26"/>
            </w:pPr>
            <w:r>
              <w:t>是否能够长期较好的保障城区公厕、环卫及园林绿化正常用水的需要</w:t>
            </w:r>
          </w:p>
        </w:tc>
        <w:tc>
          <w:tcPr>
            <w:tcW w:w="2551" w:type="dxa"/>
            <w:vAlign w:val="center"/>
          </w:tcPr>
          <w:p>
            <w:pPr>
              <w:pStyle w:val="26"/>
            </w:pPr>
            <w:r>
              <w:t>100%</w:t>
            </w:r>
          </w:p>
        </w:tc>
        <w:tc>
          <w:tcPr>
            <w:tcW w:w="2268" w:type="dxa"/>
            <w:vAlign w:val="center"/>
          </w:tcPr>
          <w:p>
            <w:pPr>
              <w:pStyle w:val="26"/>
            </w:pPr>
            <w:r>
              <w:t>年度工作计划</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、城区亮化工程绩效目标表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助力夜经济，营造夜晚景观，提升城市风貌</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验收合格数量占施工总数量的比例</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 xml:space="preserve"> 工作完成及时率</w:t>
            </w:r>
          </w:p>
        </w:tc>
        <w:tc>
          <w:tcPr>
            <w:tcW w:w="2835" w:type="dxa"/>
            <w:vAlign w:val="center"/>
          </w:tcPr>
          <w:p>
            <w:pPr>
              <w:pStyle w:val="26"/>
            </w:pPr>
            <w:r>
              <w:t>在要求的时间完成数量与计划数量的比值</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设施成本</w:t>
            </w:r>
          </w:p>
        </w:tc>
        <w:tc>
          <w:tcPr>
            <w:tcW w:w="2835" w:type="dxa"/>
            <w:vAlign w:val="center"/>
          </w:tcPr>
          <w:p>
            <w:pPr>
              <w:pStyle w:val="26"/>
            </w:pPr>
            <w:r>
              <w:t>公园北门景观字单价</w:t>
            </w:r>
          </w:p>
        </w:tc>
        <w:tc>
          <w:tcPr>
            <w:tcW w:w="2551" w:type="dxa"/>
            <w:vAlign w:val="center"/>
          </w:tcPr>
          <w:p>
            <w:pPr>
              <w:pStyle w:val="26"/>
            </w:pPr>
            <w:r>
              <w:t>≤1200元/平方米</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安装灯带的数量</w:t>
            </w:r>
          </w:p>
        </w:tc>
        <w:tc>
          <w:tcPr>
            <w:tcW w:w="2835" w:type="dxa"/>
            <w:vAlign w:val="center"/>
          </w:tcPr>
          <w:p>
            <w:pPr>
              <w:pStyle w:val="26"/>
            </w:pPr>
            <w:r>
              <w:t>安装灯带的数量</w:t>
            </w:r>
          </w:p>
        </w:tc>
        <w:tc>
          <w:tcPr>
            <w:tcW w:w="2551" w:type="dxa"/>
            <w:vAlign w:val="center"/>
          </w:tcPr>
          <w:p>
            <w:pPr>
              <w:pStyle w:val="26"/>
            </w:pPr>
            <w:r>
              <w:t>1479串</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居民对环境的投诉率</w:t>
            </w:r>
          </w:p>
        </w:tc>
        <w:tc>
          <w:tcPr>
            <w:tcW w:w="2835" w:type="dxa"/>
            <w:vAlign w:val="center"/>
          </w:tcPr>
          <w:p>
            <w:pPr>
              <w:pStyle w:val="26"/>
            </w:pPr>
            <w:r>
              <w:t>反映项目开展对周边环境起到哪些作用，居民的投诉情况</w:t>
            </w:r>
          </w:p>
        </w:tc>
        <w:tc>
          <w:tcPr>
            <w:tcW w:w="2551" w:type="dxa"/>
            <w:vAlign w:val="center"/>
          </w:tcPr>
          <w:p>
            <w:pPr>
              <w:pStyle w:val="26"/>
            </w:pPr>
            <w:r>
              <w:t>≤10%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公众满意度</w:t>
            </w:r>
          </w:p>
        </w:tc>
        <w:tc>
          <w:tcPr>
            <w:tcW w:w="2835" w:type="dxa"/>
            <w:vAlign w:val="center"/>
          </w:tcPr>
          <w:p>
            <w:pPr>
              <w:pStyle w:val="26"/>
            </w:pPr>
            <w:r>
              <w:t>达到基本满意以上的受访人员与全体受访人数的比值</w:t>
            </w:r>
          </w:p>
        </w:tc>
        <w:tc>
          <w:tcPr>
            <w:tcW w:w="2551" w:type="dxa"/>
            <w:vAlign w:val="center"/>
          </w:tcPr>
          <w:p>
            <w:pPr>
              <w:pStyle w:val="26"/>
            </w:pPr>
            <w:r>
              <w:t>≥95%</w:t>
            </w:r>
          </w:p>
        </w:tc>
        <w:tc>
          <w:tcPr>
            <w:tcW w:w="2268" w:type="dxa"/>
            <w:vAlign w:val="center"/>
          </w:tcPr>
          <w:p>
            <w:pPr>
              <w:pStyle w:val="26"/>
            </w:pPr>
            <w:r>
              <w:t>问卷调查</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、城区绿地和公园绿地社会化养护绩效目标表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1.保持并完善三座公园的绿地景观效果</w:t>
            </w:r>
          </w:p>
          <w:p>
            <w:pPr>
              <w:pStyle w:val="26"/>
            </w:pPr>
            <w:r>
              <w:t>2.保持并完善城区道路、游园及防护林绿地的景观效果</w:t>
            </w:r>
          </w:p>
          <w:p>
            <w:pPr>
              <w:pStyle w:val="26"/>
            </w:pPr>
            <w:r>
              <w:t>3.确保公园绿地、行道树更加整洁、优美、有序，进一步巩固公园绿化成果，为市民提供强身健体的休闲、游憩场所</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养护数量</w:t>
            </w:r>
          </w:p>
        </w:tc>
        <w:tc>
          <w:tcPr>
            <w:tcW w:w="2835" w:type="dxa"/>
            <w:vAlign w:val="center"/>
          </w:tcPr>
          <w:p>
            <w:pPr>
              <w:pStyle w:val="26"/>
            </w:pPr>
            <w:r>
              <w:t>反映城区公园养护数量情况</w:t>
            </w:r>
          </w:p>
        </w:tc>
        <w:tc>
          <w:tcPr>
            <w:tcW w:w="2551" w:type="dxa"/>
            <w:vAlign w:val="center"/>
          </w:tcPr>
          <w:p>
            <w:pPr>
              <w:pStyle w:val="26"/>
            </w:pPr>
            <w:r>
              <w:t>3座</w:t>
            </w:r>
          </w:p>
        </w:tc>
        <w:tc>
          <w:tcPr>
            <w:tcW w:w="2268" w:type="dxa"/>
            <w:vAlign w:val="center"/>
          </w:tcPr>
          <w:p>
            <w:pPr>
              <w:pStyle w:val="26"/>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绿化成活率</w:t>
            </w:r>
          </w:p>
        </w:tc>
        <w:tc>
          <w:tcPr>
            <w:tcW w:w="2835" w:type="dxa"/>
            <w:vAlign w:val="center"/>
          </w:tcPr>
          <w:p>
            <w:pPr>
              <w:pStyle w:val="26"/>
            </w:pPr>
            <w:r>
              <w:t>反映种植苗木成活情况</w:t>
            </w:r>
          </w:p>
        </w:tc>
        <w:tc>
          <w:tcPr>
            <w:tcW w:w="2551" w:type="dxa"/>
            <w:vAlign w:val="center"/>
          </w:tcPr>
          <w:p>
            <w:pPr>
              <w:pStyle w:val="26"/>
            </w:pPr>
            <w:r>
              <w:t>≥95%</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 xml:space="preserve"> 工作完成及时率</w:t>
            </w:r>
          </w:p>
        </w:tc>
        <w:tc>
          <w:tcPr>
            <w:tcW w:w="2835" w:type="dxa"/>
            <w:vAlign w:val="center"/>
          </w:tcPr>
          <w:p>
            <w:pPr>
              <w:pStyle w:val="26"/>
            </w:pPr>
            <w:r>
              <w:t>反映养护活动完成情况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养护单价</w:t>
            </w:r>
          </w:p>
        </w:tc>
        <w:tc>
          <w:tcPr>
            <w:tcW w:w="2835" w:type="dxa"/>
            <w:vAlign w:val="center"/>
          </w:tcPr>
          <w:p>
            <w:pPr>
              <w:pStyle w:val="26"/>
            </w:pPr>
            <w:r>
              <w:t>合同约定养护单价成本</w:t>
            </w:r>
          </w:p>
        </w:tc>
        <w:tc>
          <w:tcPr>
            <w:tcW w:w="2551" w:type="dxa"/>
            <w:vAlign w:val="center"/>
          </w:tcPr>
          <w:p>
            <w:pPr>
              <w:pStyle w:val="26"/>
            </w:pPr>
            <w:r>
              <w:t>≤74.25万元/月</w:t>
            </w:r>
          </w:p>
        </w:tc>
        <w:tc>
          <w:tcPr>
            <w:tcW w:w="2268" w:type="dxa"/>
            <w:vAlign w:val="center"/>
          </w:tcPr>
          <w:p>
            <w:pPr>
              <w:pStyle w:val="26"/>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居民对环境的投诉率</w:t>
            </w:r>
          </w:p>
        </w:tc>
        <w:tc>
          <w:tcPr>
            <w:tcW w:w="2835" w:type="dxa"/>
            <w:vAlign w:val="center"/>
          </w:tcPr>
          <w:p>
            <w:pPr>
              <w:pStyle w:val="26"/>
            </w:pPr>
            <w:r>
              <w:t>反映项目开展对周边环境起到哪些作用，居民的投诉情况</w:t>
            </w:r>
          </w:p>
        </w:tc>
        <w:tc>
          <w:tcPr>
            <w:tcW w:w="2551" w:type="dxa"/>
            <w:vAlign w:val="center"/>
          </w:tcPr>
          <w:p>
            <w:pPr>
              <w:pStyle w:val="26"/>
            </w:pPr>
            <w:r>
              <w:t>≤10%</w:t>
            </w:r>
          </w:p>
        </w:tc>
        <w:tc>
          <w:tcPr>
            <w:tcW w:w="2268" w:type="dxa"/>
            <w:vAlign w:val="center"/>
          </w:tcPr>
          <w:p>
            <w:pPr>
              <w:pStyle w:val="26"/>
            </w:pPr>
            <w:r>
              <w:t>年度工作计划</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、城区树木补植绩效目标表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1.对保沧路、商贸大街南延、高安路、北二环等路段进行苗木补植</w:t>
            </w:r>
          </w:p>
          <w:p>
            <w:pPr>
              <w:pStyle w:val="26"/>
            </w:pPr>
            <w:r>
              <w:t>2.减少行道树缺株断垄，提升道路绿化景观</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961"/>
        <w:gridCol w:w="2425"/>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961" w:type="dxa"/>
            <w:vAlign w:val="center"/>
          </w:tcPr>
          <w:p>
            <w:pPr>
              <w:pStyle w:val="25"/>
            </w:pPr>
            <w:r>
              <w:t>绩效指标描述</w:t>
            </w:r>
          </w:p>
        </w:tc>
        <w:tc>
          <w:tcPr>
            <w:tcW w:w="2425"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补植数量</w:t>
            </w:r>
          </w:p>
        </w:tc>
        <w:tc>
          <w:tcPr>
            <w:tcW w:w="2961" w:type="dxa"/>
            <w:vAlign w:val="center"/>
          </w:tcPr>
          <w:p>
            <w:pPr>
              <w:pStyle w:val="26"/>
            </w:pPr>
            <w:r>
              <w:t>实际完成的苗木补植数量</w:t>
            </w:r>
          </w:p>
        </w:tc>
        <w:tc>
          <w:tcPr>
            <w:tcW w:w="2425" w:type="dxa"/>
            <w:vAlign w:val="center"/>
          </w:tcPr>
          <w:p>
            <w:pPr>
              <w:pStyle w:val="26"/>
            </w:pPr>
            <w:r>
              <w:t>≥1030株</w:t>
            </w:r>
          </w:p>
        </w:tc>
        <w:tc>
          <w:tcPr>
            <w:tcW w:w="2268" w:type="dxa"/>
            <w:vAlign w:val="center"/>
          </w:tcPr>
          <w:p>
            <w:pPr>
              <w:pStyle w:val="26"/>
            </w:pPr>
            <w:r>
              <w:t>施工工作计划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961" w:type="dxa"/>
            <w:vAlign w:val="center"/>
          </w:tcPr>
          <w:p>
            <w:pPr>
              <w:pStyle w:val="26"/>
            </w:pPr>
            <w:r>
              <w:t>验收合格数量占施工总数量的比例</w:t>
            </w:r>
          </w:p>
        </w:tc>
        <w:tc>
          <w:tcPr>
            <w:tcW w:w="2425"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 xml:space="preserve"> 工作完成及时率</w:t>
            </w:r>
          </w:p>
        </w:tc>
        <w:tc>
          <w:tcPr>
            <w:tcW w:w="2961" w:type="dxa"/>
            <w:vAlign w:val="center"/>
          </w:tcPr>
          <w:p>
            <w:pPr>
              <w:pStyle w:val="26"/>
            </w:pPr>
            <w:r>
              <w:t>在要求的时间完成数量与计划数量的比值</w:t>
            </w:r>
          </w:p>
        </w:tc>
        <w:tc>
          <w:tcPr>
            <w:tcW w:w="2425"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961" w:type="dxa"/>
            <w:vAlign w:val="center"/>
          </w:tcPr>
          <w:p>
            <w:pPr>
              <w:pStyle w:val="26"/>
            </w:pPr>
            <w:r>
              <w:t>实际支出金额占预算金额的比例</w:t>
            </w:r>
          </w:p>
        </w:tc>
        <w:tc>
          <w:tcPr>
            <w:tcW w:w="2425"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居民对环境的投诉率</w:t>
            </w:r>
          </w:p>
        </w:tc>
        <w:tc>
          <w:tcPr>
            <w:tcW w:w="2961" w:type="dxa"/>
            <w:vAlign w:val="center"/>
          </w:tcPr>
          <w:p>
            <w:pPr>
              <w:pStyle w:val="26"/>
            </w:pPr>
            <w:r>
              <w:t>反映项目开展对周边环境起到哪些作用，居民的投诉情况</w:t>
            </w:r>
          </w:p>
        </w:tc>
        <w:tc>
          <w:tcPr>
            <w:tcW w:w="2425" w:type="dxa"/>
            <w:vAlign w:val="center"/>
          </w:tcPr>
          <w:p>
            <w:pPr>
              <w:pStyle w:val="26"/>
            </w:pPr>
            <w:r>
              <w:t>≤10%</w:t>
            </w:r>
          </w:p>
        </w:tc>
        <w:tc>
          <w:tcPr>
            <w:tcW w:w="2268" w:type="dxa"/>
            <w:vAlign w:val="center"/>
          </w:tcPr>
          <w:p>
            <w:pPr>
              <w:pStyle w:val="26"/>
            </w:pPr>
            <w:r>
              <w:t>年度工作计划</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、城区树木移植绩效目标表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1.保障苗木移植工作正常开展</w:t>
            </w:r>
          </w:p>
          <w:p>
            <w:pPr>
              <w:pStyle w:val="26"/>
            </w:pPr>
            <w:r>
              <w:t>2.为旅发大会商贸城改造提升和经六路的建设创造条件</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苗木移植数量</w:t>
            </w:r>
          </w:p>
        </w:tc>
        <w:tc>
          <w:tcPr>
            <w:tcW w:w="2835" w:type="dxa"/>
            <w:vAlign w:val="center"/>
          </w:tcPr>
          <w:p>
            <w:pPr>
              <w:pStyle w:val="26"/>
            </w:pPr>
            <w:r>
              <w:t>实际完成的苗木移植数量</w:t>
            </w:r>
          </w:p>
        </w:tc>
        <w:tc>
          <w:tcPr>
            <w:tcW w:w="2551" w:type="dxa"/>
            <w:vAlign w:val="center"/>
          </w:tcPr>
          <w:p>
            <w:pPr>
              <w:pStyle w:val="26"/>
            </w:pPr>
            <w:r>
              <w:t>378株</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验收合格数量占施工总数量的比例</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工作完成及时率</w:t>
            </w:r>
          </w:p>
        </w:tc>
        <w:tc>
          <w:tcPr>
            <w:tcW w:w="2835" w:type="dxa"/>
            <w:vAlign w:val="center"/>
          </w:tcPr>
          <w:p>
            <w:pPr>
              <w:pStyle w:val="26"/>
            </w:pPr>
            <w:r>
              <w:t>在要求的时间完成数量与计划数量的比值</w:t>
            </w:r>
          </w:p>
        </w:tc>
        <w:tc>
          <w:tcPr>
            <w:tcW w:w="2551"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移植成活率</w:t>
            </w:r>
          </w:p>
        </w:tc>
        <w:tc>
          <w:tcPr>
            <w:tcW w:w="2835" w:type="dxa"/>
            <w:vAlign w:val="center"/>
          </w:tcPr>
          <w:p>
            <w:pPr>
              <w:pStyle w:val="26"/>
            </w:pPr>
            <w:r>
              <w:t>成活苗木数量与移植苗木总量的比值</w:t>
            </w:r>
          </w:p>
        </w:tc>
        <w:tc>
          <w:tcPr>
            <w:tcW w:w="2551" w:type="dxa"/>
            <w:vAlign w:val="center"/>
          </w:tcPr>
          <w:p>
            <w:pPr>
              <w:pStyle w:val="26"/>
            </w:pPr>
            <w:r>
              <w:t>≥95%</w:t>
            </w:r>
          </w:p>
        </w:tc>
        <w:tc>
          <w:tcPr>
            <w:tcW w:w="2268" w:type="dxa"/>
            <w:vAlign w:val="center"/>
          </w:tcPr>
          <w:p>
            <w:pPr>
              <w:pStyle w:val="26"/>
            </w:pPr>
            <w:r>
              <w:t>验收报告</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、春季植树工程绩效目标表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1.保障2020年度春季植树工程合同尾款正常支付</w:t>
            </w:r>
          </w:p>
          <w:p>
            <w:pPr>
              <w:pStyle w:val="26"/>
            </w:pPr>
            <w:r>
              <w:t>2.美化环境，提升城市形象</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支付比率</w:t>
            </w:r>
          </w:p>
        </w:tc>
        <w:tc>
          <w:tcPr>
            <w:tcW w:w="2835" w:type="dxa"/>
            <w:vAlign w:val="center"/>
          </w:tcPr>
          <w:p>
            <w:pPr>
              <w:pStyle w:val="26"/>
            </w:pPr>
            <w:r>
              <w:t>未支付尾款与全部施工款的比值</w:t>
            </w:r>
          </w:p>
        </w:tc>
        <w:tc>
          <w:tcPr>
            <w:tcW w:w="2551" w:type="dxa"/>
            <w:vAlign w:val="center"/>
          </w:tcPr>
          <w:p>
            <w:pPr>
              <w:pStyle w:val="26"/>
            </w:pPr>
            <w:r>
              <w:t>10%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验收合格数量占施工总数量的比例</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及时支付比率</w:t>
            </w:r>
          </w:p>
        </w:tc>
        <w:tc>
          <w:tcPr>
            <w:tcW w:w="2835" w:type="dxa"/>
            <w:vAlign w:val="center"/>
          </w:tcPr>
          <w:p>
            <w:pPr>
              <w:pStyle w:val="26"/>
            </w:pPr>
            <w:r>
              <w:t>按合同约定最晚支付时间，2022年4月30日前支付</w:t>
            </w:r>
          </w:p>
        </w:tc>
        <w:tc>
          <w:tcPr>
            <w:tcW w:w="2551"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生态环境问题投诉率</w:t>
            </w:r>
          </w:p>
        </w:tc>
        <w:tc>
          <w:tcPr>
            <w:tcW w:w="2835" w:type="dxa"/>
            <w:vAlign w:val="center"/>
          </w:tcPr>
          <w:p>
            <w:pPr>
              <w:pStyle w:val="26"/>
            </w:pPr>
            <w:r>
              <w:t>提高空气质量、美化城市环境，反映居民的投诉情况</w:t>
            </w:r>
          </w:p>
        </w:tc>
        <w:tc>
          <w:tcPr>
            <w:tcW w:w="2551" w:type="dxa"/>
            <w:vAlign w:val="center"/>
          </w:tcPr>
          <w:p>
            <w:pPr>
              <w:pStyle w:val="26"/>
            </w:pPr>
            <w:r>
              <w:t>≤10%</w:t>
            </w:r>
          </w:p>
        </w:tc>
        <w:tc>
          <w:tcPr>
            <w:tcW w:w="2268" w:type="dxa"/>
            <w:vAlign w:val="center"/>
          </w:tcPr>
          <w:p>
            <w:pPr>
              <w:pStyle w:val="26"/>
            </w:pPr>
            <w:r>
              <w:t>年度工作计划</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、高阳县城市景观建设及改造提升监理费绩效目标表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保证“高阳县城市景观建设及提升项目”施工的工程安全、质量、进度、资金使用等方面的规范和合理</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绿化工程量</w:t>
            </w:r>
          </w:p>
        </w:tc>
        <w:tc>
          <w:tcPr>
            <w:tcW w:w="2835" w:type="dxa"/>
            <w:vAlign w:val="center"/>
          </w:tcPr>
          <w:p>
            <w:pPr>
              <w:pStyle w:val="26"/>
            </w:pPr>
            <w:r>
              <w:t>合同规定实际监理的绿化面积数量</w:t>
            </w:r>
          </w:p>
        </w:tc>
        <w:tc>
          <w:tcPr>
            <w:tcW w:w="2551" w:type="dxa"/>
            <w:vAlign w:val="center"/>
          </w:tcPr>
          <w:p>
            <w:pPr>
              <w:pStyle w:val="26"/>
            </w:pPr>
            <w:r>
              <w:t>177440平方米</w:t>
            </w:r>
          </w:p>
        </w:tc>
        <w:tc>
          <w:tcPr>
            <w:tcW w:w="2268" w:type="dxa"/>
            <w:vAlign w:val="center"/>
          </w:tcPr>
          <w:p>
            <w:pPr>
              <w:pStyle w:val="26"/>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工程合格率</w:t>
            </w:r>
          </w:p>
        </w:tc>
        <w:tc>
          <w:tcPr>
            <w:tcW w:w="2835" w:type="dxa"/>
            <w:vAlign w:val="center"/>
          </w:tcPr>
          <w:p>
            <w:pPr>
              <w:pStyle w:val="26"/>
            </w:pPr>
            <w:r>
              <w:t>反映项目是否按照要求监理施工，工程合格情况</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监理期限完成率</w:t>
            </w:r>
          </w:p>
        </w:tc>
        <w:tc>
          <w:tcPr>
            <w:tcW w:w="2835" w:type="dxa"/>
            <w:vAlign w:val="center"/>
          </w:tcPr>
          <w:p>
            <w:pPr>
              <w:pStyle w:val="26"/>
            </w:pPr>
            <w:r>
              <w:t>合同约定最晚完成时间，在2020年4月30日前完成</w:t>
            </w:r>
          </w:p>
        </w:tc>
        <w:tc>
          <w:tcPr>
            <w:tcW w:w="2551"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监理预算成本</w:t>
            </w:r>
          </w:p>
        </w:tc>
        <w:tc>
          <w:tcPr>
            <w:tcW w:w="2835" w:type="dxa"/>
            <w:vAlign w:val="center"/>
          </w:tcPr>
          <w:p>
            <w:pPr>
              <w:pStyle w:val="26"/>
            </w:pPr>
            <w:r>
              <w:t>项目施工监理费单价</w:t>
            </w:r>
          </w:p>
        </w:tc>
        <w:tc>
          <w:tcPr>
            <w:tcW w:w="2551" w:type="dxa"/>
            <w:vAlign w:val="center"/>
          </w:tcPr>
          <w:p>
            <w:pPr>
              <w:pStyle w:val="26"/>
            </w:pPr>
            <w:r>
              <w:t>≤16.8万元</w:t>
            </w:r>
          </w:p>
        </w:tc>
        <w:tc>
          <w:tcPr>
            <w:tcW w:w="2268" w:type="dxa"/>
            <w:vAlign w:val="center"/>
          </w:tcPr>
          <w:p>
            <w:pPr>
              <w:pStyle w:val="26"/>
            </w:pPr>
            <w:r>
              <w:t>监理合同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工作效果开展的持续性</w:t>
            </w:r>
          </w:p>
        </w:tc>
        <w:tc>
          <w:tcPr>
            <w:tcW w:w="2835" w:type="dxa"/>
            <w:vAlign w:val="center"/>
          </w:tcPr>
          <w:p>
            <w:pPr>
              <w:pStyle w:val="26"/>
            </w:pPr>
            <w:r>
              <w:t>反映高阳县城市景观建设及改造提升工作开展的效果持续性情况</w:t>
            </w:r>
          </w:p>
        </w:tc>
        <w:tc>
          <w:tcPr>
            <w:tcW w:w="2551" w:type="dxa"/>
            <w:vAlign w:val="center"/>
          </w:tcPr>
          <w:p>
            <w:pPr>
              <w:pStyle w:val="26"/>
            </w:pPr>
            <w:r>
              <w:t>100%</w:t>
            </w:r>
          </w:p>
        </w:tc>
        <w:tc>
          <w:tcPr>
            <w:tcW w:w="2268" w:type="dxa"/>
            <w:vAlign w:val="center"/>
          </w:tcPr>
          <w:p>
            <w:pPr>
              <w:pStyle w:val="26"/>
            </w:pPr>
            <w:r>
              <w:t>年度工作计划</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、高阳县垃圾运输处理费绩效目标表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1.实行垃圾分类运输处理，及时将城乡生活垃圾和餐厨垃圾进行无害化处理</w:t>
            </w:r>
          </w:p>
          <w:p>
            <w:pPr>
              <w:pStyle w:val="26"/>
            </w:pPr>
            <w:r>
              <w:t>2.净化空气，避免环境污染，有效改善城乡居住环境</w:t>
            </w:r>
          </w:p>
          <w:p>
            <w:pPr>
              <w:pStyle w:val="26"/>
            </w:pPr>
            <w:r>
              <w:t>3.保障垃圾清运日产日清、为居民提供洁净卫生的居住环境</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无害化处理量</w:t>
            </w:r>
          </w:p>
        </w:tc>
        <w:tc>
          <w:tcPr>
            <w:tcW w:w="2835" w:type="dxa"/>
            <w:vAlign w:val="center"/>
          </w:tcPr>
          <w:p>
            <w:pPr>
              <w:pStyle w:val="26"/>
            </w:pPr>
            <w:r>
              <w:t>当年度无害化垃圾处理数量</w:t>
            </w:r>
          </w:p>
        </w:tc>
        <w:tc>
          <w:tcPr>
            <w:tcW w:w="2551" w:type="dxa"/>
            <w:vAlign w:val="center"/>
          </w:tcPr>
          <w:p>
            <w:pPr>
              <w:pStyle w:val="26"/>
            </w:pPr>
            <w:r>
              <w:t>≥30000吨</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垃圾清运合格率</w:t>
            </w:r>
          </w:p>
        </w:tc>
        <w:tc>
          <w:tcPr>
            <w:tcW w:w="2835" w:type="dxa"/>
            <w:vAlign w:val="center"/>
          </w:tcPr>
          <w:p>
            <w:pPr>
              <w:pStyle w:val="26"/>
            </w:pPr>
            <w:r>
              <w:t>生活垃圾应实行密闭化运输，运输过程中不得滴漏、撒落；对撒漏物应及时清除干净，反映垃圾清运的合格状况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资金支付及时性</w:t>
            </w:r>
          </w:p>
        </w:tc>
        <w:tc>
          <w:tcPr>
            <w:tcW w:w="2835" w:type="dxa"/>
            <w:vAlign w:val="center"/>
          </w:tcPr>
          <w:p>
            <w:pPr>
              <w:pStyle w:val="26"/>
            </w:pPr>
            <w:r>
              <w:t>反映资金支付的及时性状况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运输处理成本</w:t>
            </w:r>
          </w:p>
        </w:tc>
        <w:tc>
          <w:tcPr>
            <w:tcW w:w="2835" w:type="dxa"/>
            <w:vAlign w:val="center"/>
          </w:tcPr>
          <w:p>
            <w:pPr>
              <w:pStyle w:val="26"/>
            </w:pPr>
            <w:r>
              <w:t>垃圾运输处理单价</w:t>
            </w:r>
          </w:p>
        </w:tc>
        <w:tc>
          <w:tcPr>
            <w:tcW w:w="2551" w:type="dxa"/>
            <w:vAlign w:val="center"/>
          </w:tcPr>
          <w:p>
            <w:pPr>
              <w:pStyle w:val="26"/>
            </w:pPr>
            <w:r>
              <w:t>≤128.56元/吨</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居住环境投诉率</w:t>
            </w:r>
          </w:p>
        </w:tc>
        <w:tc>
          <w:tcPr>
            <w:tcW w:w="2835" w:type="dxa"/>
            <w:vAlign w:val="center"/>
          </w:tcPr>
          <w:p>
            <w:pPr>
              <w:pStyle w:val="26"/>
            </w:pPr>
            <w:r>
              <w:t>提升城市形象，美化城市环境，降低居民投诉率</w:t>
            </w:r>
          </w:p>
        </w:tc>
        <w:tc>
          <w:tcPr>
            <w:tcW w:w="2551" w:type="dxa"/>
            <w:vAlign w:val="center"/>
          </w:tcPr>
          <w:p>
            <w:pPr>
              <w:pStyle w:val="26"/>
            </w:pPr>
            <w:r>
              <w:t>≤10%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受访群众达到基本满意以上人数与全体受访人数的比值</w:t>
            </w:r>
          </w:p>
        </w:tc>
        <w:tc>
          <w:tcPr>
            <w:tcW w:w="2551" w:type="dxa"/>
            <w:vAlign w:val="center"/>
          </w:tcPr>
          <w:p>
            <w:pPr>
              <w:pStyle w:val="26"/>
            </w:pPr>
            <w:r>
              <w:t>≥90%</w:t>
            </w:r>
          </w:p>
        </w:tc>
        <w:tc>
          <w:tcPr>
            <w:tcW w:w="2268" w:type="dxa"/>
            <w:vAlign w:val="center"/>
          </w:tcPr>
          <w:p>
            <w:pPr>
              <w:pStyle w:val="26"/>
            </w:pPr>
            <w:r>
              <w:t>问卷调查</w:t>
            </w:r>
          </w:p>
        </w:tc>
      </w:tr>
    </w:tbl>
    <w:p>
      <w:pPr>
        <w:pStyle w:val="24"/>
      </w:pPr>
    </w:p>
    <w:p>
      <w:pPr>
        <w:pStyle w:val="24"/>
        <w:ind w:firstLine="560"/>
        <w:rPr>
          <w:rFonts w:ascii="方正仿宋_GBK" w:hAnsi="方正仿宋_GBK" w:eastAsia="方正仿宋_GBK" w:cs="方正仿宋_GBK"/>
          <w:b/>
          <w:color w:val="000000"/>
          <w:sz w:val="28"/>
        </w:rPr>
      </w:pPr>
    </w:p>
    <w:p>
      <w:pPr>
        <w:pStyle w:val="24"/>
        <w:rPr>
          <w:rFonts w:ascii="方正仿宋_GBK" w:hAnsi="方正仿宋_GBK" w:eastAsia="方正仿宋_GBK" w:cs="方正仿宋_GBK"/>
          <w:b/>
          <w:color w:val="000000"/>
          <w:sz w:val="28"/>
        </w:rPr>
      </w:pPr>
    </w:p>
    <w:p>
      <w:pPr>
        <w:pStyle w:val="24"/>
        <w:rPr>
          <w:rFonts w:ascii="方正仿宋_GBK" w:hAnsi="方正仿宋_GBK" w:eastAsia="方正仿宋_GBK" w:cs="方正仿宋_GBK"/>
          <w:b/>
          <w:color w:val="000000"/>
          <w:sz w:val="28"/>
        </w:rPr>
      </w:pPr>
    </w:p>
    <w:p>
      <w:pPr>
        <w:pStyle w:val="24"/>
        <w:rPr>
          <w:rFonts w:ascii="方正仿宋_GBK" w:hAnsi="方正仿宋_GBK" w:eastAsia="方正仿宋_GBK" w:cs="方正仿宋_GBK"/>
          <w:b/>
          <w:color w:val="000000"/>
          <w:sz w:val="28"/>
        </w:rPr>
      </w:pPr>
    </w:p>
    <w:p>
      <w:pPr>
        <w:pStyle w:val="24"/>
        <w:rPr>
          <w:rFonts w:ascii="方正仿宋_GBK" w:hAnsi="方正仿宋_GBK" w:eastAsia="方正仿宋_GBK" w:cs="方正仿宋_GBK"/>
          <w:b/>
          <w:color w:val="000000"/>
          <w:sz w:val="28"/>
        </w:rPr>
      </w:pPr>
    </w:p>
    <w:p>
      <w:pPr>
        <w:pStyle w:val="24"/>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、高阳县绿道绿廊建设绩效目标表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提高城市绿化率，净化城市空气；改善城市环境质量，提高居民幸福指数</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3321"/>
        <w:gridCol w:w="2065"/>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3321" w:type="dxa"/>
            <w:vAlign w:val="center"/>
          </w:tcPr>
          <w:p>
            <w:pPr>
              <w:pStyle w:val="25"/>
            </w:pPr>
            <w:r>
              <w:t>绩效指标描述</w:t>
            </w:r>
          </w:p>
        </w:tc>
        <w:tc>
          <w:tcPr>
            <w:tcW w:w="2065"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绿化工程量</w:t>
            </w:r>
          </w:p>
        </w:tc>
        <w:tc>
          <w:tcPr>
            <w:tcW w:w="3321" w:type="dxa"/>
            <w:vAlign w:val="center"/>
          </w:tcPr>
          <w:p>
            <w:pPr>
              <w:pStyle w:val="26"/>
            </w:pPr>
            <w:r>
              <w:t>绿化种植实际完成面积</w:t>
            </w:r>
          </w:p>
        </w:tc>
        <w:tc>
          <w:tcPr>
            <w:tcW w:w="2065" w:type="dxa"/>
            <w:vAlign w:val="center"/>
          </w:tcPr>
          <w:p>
            <w:pPr>
              <w:pStyle w:val="26"/>
            </w:pPr>
            <w:r>
              <w:t>≥152256m3</w:t>
            </w:r>
          </w:p>
        </w:tc>
        <w:tc>
          <w:tcPr>
            <w:tcW w:w="2268" w:type="dxa"/>
            <w:vAlign w:val="center"/>
          </w:tcPr>
          <w:p>
            <w:pPr>
              <w:pStyle w:val="26"/>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3321" w:type="dxa"/>
            <w:vAlign w:val="center"/>
          </w:tcPr>
          <w:p>
            <w:pPr>
              <w:pStyle w:val="26"/>
            </w:pPr>
            <w:r>
              <w:t>通过验收的数量与实际建设数量的比例</w:t>
            </w:r>
          </w:p>
        </w:tc>
        <w:tc>
          <w:tcPr>
            <w:tcW w:w="2065"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建设期限</w:t>
            </w:r>
          </w:p>
        </w:tc>
        <w:tc>
          <w:tcPr>
            <w:tcW w:w="3321" w:type="dxa"/>
            <w:vAlign w:val="center"/>
          </w:tcPr>
          <w:p>
            <w:pPr>
              <w:pStyle w:val="26"/>
            </w:pPr>
            <w:r>
              <w:t>项目建设开工至完工所需时间</w:t>
            </w:r>
          </w:p>
        </w:tc>
        <w:tc>
          <w:tcPr>
            <w:tcW w:w="2065" w:type="dxa"/>
            <w:vAlign w:val="center"/>
          </w:tcPr>
          <w:p>
            <w:pPr>
              <w:pStyle w:val="26"/>
            </w:pPr>
            <w:r>
              <w:t>≤130天</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资金支付及时性</w:t>
            </w:r>
          </w:p>
        </w:tc>
        <w:tc>
          <w:tcPr>
            <w:tcW w:w="3321" w:type="dxa"/>
            <w:vAlign w:val="center"/>
          </w:tcPr>
          <w:p>
            <w:pPr>
              <w:pStyle w:val="26"/>
            </w:pPr>
            <w:r>
              <w:t>反映资金支付的及时性</w:t>
            </w:r>
          </w:p>
        </w:tc>
        <w:tc>
          <w:tcPr>
            <w:tcW w:w="2065"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3321" w:type="dxa"/>
            <w:vAlign w:val="center"/>
          </w:tcPr>
          <w:p>
            <w:pPr>
              <w:pStyle w:val="26"/>
            </w:pPr>
            <w:r>
              <w:t>实际支出金额占预算金额的比例</w:t>
            </w:r>
          </w:p>
        </w:tc>
        <w:tc>
          <w:tcPr>
            <w:tcW w:w="2065"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建设任务开展的持续性</w:t>
            </w:r>
          </w:p>
        </w:tc>
        <w:tc>
          <w:tcPr>
            <w:tcW w:w="3321" w:type="dxa"/>
            <w:vAlign w:val="center"/>
          </w:tcPr>
          <w:p>
            <w:pPr>
              <w:pStyle w:val="26"/>
            </w:pPr>
            <w:r>
              <w:t>反映建设任务是否正常持续开展</w:t>
            </w:r>
          </w:p>
        </w:tc>
        <w:tc>
          <w:tcPr>
            <w:tcW w:w="2065" w:type="dxa"/>
            <w:vAlign w:val="center"/>
          </w:tcPr>
          <w:p>
            <w:pPr>
              <w:pStyle w:val="26"/>
            </w:pPr>
            <w:r>
              <w:t>100%</w:t>
            </w:r>
          </w:p>
        </w:tc>
        <w:tc>
          <w:tcPr>
            <w:tcW w:w="2268" w:type="dxa"/>
            <w:vAlign w:val="center"/>
          </w:tcPr>
          <w:p>
            <w:pPr>
              <w:pStyle w:val="26"/>
            </w:pPr>
            <w:r>
              <w:t>年度工作计划</w:t>
            </w:r>
          </w:p>
        </w:tc>
      </w:tr>
    </w:tbl>
    <w:p>
      <w:pPr>
        <w:pStyle w:val="24"/>
      </w:pPr>
    </w:p>
    <w:p>
      <w:pPr>
        <w:pStyle w:val="24"/>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、高阳县西演垃圾转运站建设绩效目标表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1.为保障垃圾及时运输处理，建设1座生活垃圾转运站</w:t>
            </w:r>
          </w:p>
          <w:p>
            <w:pPr>
              <w:pStyle w:val="26"/>
            </w:pPr>
            <w:r>
              <w:t>2.保持区域干净整洁，减少环境污染，提升环境面貌</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建设新增转运站数量</w:t>
            </w:r>
          </w:p>
        </w:tc>
        <w:tc>
          <w:tcPr>
            <w:tcW w:w="2835" w:type="dxa"/>
            <w:vAlign w:val="center"/>
          </w:tcPr>
          <w:p>
            <w:pPr>
              <w:pStyle w:val="26"/>
            </w:pPr>
            <w:r>
              <w:t>当年度新增垃圾转运站数量</w:t>
            </w:r>
          </w:p>
        </w:tc>
        <w:tc>
          <w:tcPr>
            <w:tcW w:w="2551" w:type="dxa"/>
            <w:vAlign w:val="center"/>
          </w:tcPr>
          <w:p>
            <w:pPr>
              <w:pStyle w:val="26"/>
            </w:pPr>
            <w:r>
              <w:t>1座</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工程验收合格率</w:t>
            </w:r>
          </w:p>
        </w:tc>
        <w:tc>
          <w:tcPr>
            <w:tcW w:w="2835" w:type="dxa"/>
            <w:vAlign w:val="center"/>
          </w:tcPr>
          <w:p>
            <w:pPr>
              <w:pStyle w:val="26"/>
            </w:pPr>
            <w:r>
              <w:t>通过验收的建设工程占全部建设工程的比例</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 xml:space="preserve"> 建设期限</w:t>
            </w:r>
          </w:p>
        </w:tc>
        <w:tc>
          <w:tcPr>
            <w:tcW w:w="2835" w:type="dxa"/>
            <w:vAlign w:val="center"/>
          </w:tcPr>
          <w:p>
            <w:pPr>
              <w:pStyle w:val="26"/>
            </w:pPr>
            <w:r>
              <w:t>合同约定建设开工至完工历时天数</w:t>
            </w:r>
          </w:p>
        </w:tc>
        <w:tc>
          <w:tcPr>
            <w:tcW w:w="2551" w:type="dxa"/>
            <w:vAlign w:val="center"/>
          </w:tcPr>
          <w:p>
            <w:pPr>
              <w:pStyle w:val="26"/>
            </w:pPr>
            <w:r>
              <w:t>≤60天</w:t>
            </w:r>
          </w:p>
        </w:tc>
        <w:tc>
          <w:tcPr>
            <w:tcW w:w="2268" w:type="dxa"/>
            <w:vAlign w:val="center"/>
          </w:tcPr>
          <w:p>
            <w:pPr>
              <w:pStyle w:val="26"/>
            </w:pPr>
            <w:r>
              <w:t>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设备采购价</w:t>
            </w:r>
          </w:p>
        </w:tc>
        <w:tc>
          <w:tcPr>
            <w:tcW w:w="2835" w:type="dxa"/>
            <w:vAlign w:val="center"/>
          </w:tcPr>
          <w:p>
            <w:pPr>
              <w:pStyle w:val="26"/>
            </w:pPr>
            <w:r>
              <w:t>拟购置压缩设备整套价格</w:t>
            </w:r>
          </w:p>
        </w:tc>
        <w:tc>
          <w:tcPr>
            <w:tcW w:w="2551" w:type="dxa"/>
            <w:vAlign w:val="center"/>
          </w:tcPr>
          <w:p>
            <w:pPr>
              <w:pStyle w:val="26"/>
            </w:pPr>
            <w:r>
              <w:t>≤129.5万元/套</w:t>
            </w:r>
          </w:p>
        </w:tc>
        <w:tc>
          <w:tcPr>
            <w:tcW w:w="2268" w:type="dxa"/>
            <w:vAlign w:val="center"/>
          </w:tcPr>
          <w:p>
            <w:pPr>
              <w:pStyle w:val="26"/>
            </w:pPr>
            <w:r>
              <w:t>询价报告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乡村环境投诉率</w:t>
            </w:r>
          </w:p>
        </w:tc>
        <w:tc>
          <w:tcPr>
            <w:tcW w:w="2835" w:type="dxa"/>
            <w:vAlign w:val="center"/>
          </w:tcPr>
          <w:p>
            <w:pPr>
              <w:pStyle w:val="26"/>
            </w:pPr>
            <w:r>
              <w:t>对中转站周边的生活垃圾及时转运，改善乡村环境质量，提升乡村环境面貌</w:t>
            </w:r>
          </w:p>
        </w:tc>
        <w:tc>
          <w:tcPr>
            <w:tcW w:w="2551" w:type="dxa"/>
            <w:vAlign w:val="center"/>
          </w:tcPr>
          <w:p>
            <w:pPr>
              <w:pStyle w:val="26"/>
            </w:pPr>
            <w:r>
              <w:t>≤10%</w:t>
            </w:r>
          </w:p>
        </w:tc>
        <w:tc>
          <w:tcPr>
            <w:tcW w:w="2268" w:type="dxa"/>
            <w:vAlign w:val="center"/>
          </w:tcPr>
          <w:p>
            <w:pPr>
              <w:pStyle w:val="26"/>
            </w:pPr>
            <w:r>
              <w:t>年度工作计划</w:t>
            </w:r>
          </w:p>
        </w:tc>
      </w:tr>
    </w:tbl>
    <w:p>
      <w:pPr>
        <w:pStyle w:val="24"/>
        <w:ind w:firstLine="560"/>
      </w:pPr>
      <w:r>
        <w:rPr>
          <w:rFonts w:hint="eastAsia" w:ascii="方正仿宋_GBK" w:hAnsi="方正仿宋_GBK" w:eastAsia="方正仿宋_GBK" w:cs="方正仿宋_GBK"/>
          <w:b/>
          <w:color w:val="000000"/>
          <w:sz w:val="28"/>
          <w:lang w:val="en-US" w:eastAsia="zh-CN"/>
        </w:rPr>
        <w:t>14</w:t>
      </w:r>
      <w:r>
        <w:rPr>
          <w:rFonts w:ascii="方正仿宋_GBK" w:hAnsi="方正仿宋_GBK" w:eastAsia="方正仿宋_GBK" w:cs="方正仿宋_GBK"/>
          <w:b/>
          <w:color w:val="000000"/>
          <w:sz w:val="28"/>
        </w:rPr>
        <w:t>、国防光缆迁改项目绩效目标表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保证国防通信光缆正常使用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工作迁改数量</w:t>
            </w:r>
          </w:p>
        </w:tc>
        <w:tc>
          <w:tcPr>
            <w:tcW w:w="2835" w:type="dxa"/>
            <w:vAlign w:val="center"/>
          </w:tcPr>
          <w:p>
            <w:pPr>
              <w:pStyle w:val="26"/>
            </w:pPr>
            <w:r>
              <w:t>需要进行迁改的光缆数量</w:t>
            </w:r>
          </w:p>
        </w:tc>
        <w:tc>
          <w:tcPr>
            <w:tcW w:w="2551" w:type="dxa"/>
            <w:vAlign w:val="center"/>
          </w:tcPr>
          <w:p>
            <w:pPr>
              <w:pStyle w:val="26"/>
            </w:pPr>
            <w:r>
              <w:t>1条</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反映项目通过验收的情况</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建设期限内完成率</w:t>
            </w:r>
          </w:p>
        </w:tc>
        <w:tc>
          <w:tcPr>
            <w:tcW w:w="2835" w:type="dxa"/>
            <w:vAlign w:val="center"/>
          </w:tcPr>
          <w:p>
            <w:pPr>
              <w:pStyle w:val="26"/>
            </w:pPr>
            <w:r>
              <w:t>反映工程项目开工至完工时间内是否完成，（15日完成）</w:t>
            </w:r>
          </w:p>
        </w:tc>
        <w:tc>
          <w:tcPr>
            <w:tcW w:w="2551"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w:t>
            </w:r>
            <w:r>
              <w:rPr>
                <w:rFonts w:hint="eastAsia"/>
                <w:lang w:eastAsia="zh-CN"/>
              </w:rPr>
              <w:t>的</w:t>
            </w:r>
            <w:r>
              <w:t>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工作开展效果的持续性</w:t>
            </w:r>
          </w:p>
        </w:tc>
        <w:tc>
          <w:tcPr>
            <w:tcW w:w="2835" w:type="dxa"/>
            <w:vAlign w:val="center"/>
          </w:tcPr>
          <w:p>
            <w:pPr>
              <w:pStyle w:val="26"/>
            </w:pPr>
            <w:r>
              <w:t>是否能够长期较好的保障国防通信光缆正常运行的需要</w:t>
            </w:r>
          </w:p>
        </w:tc>
        <w:tc>
          <w:tcPr>
            <w:tcW w:w="2551" w:type="dxa"/>
            <w:vAlign w:val="center"/>
          </w:tcPr>
          <w:p>
            <w:pPr>
              <w:pStyle w:val="26"/>
            </w:pPr>
            <w:r>
              <w:t>100%</w:t>
            </w:r>
          </w:p>
        </w:tc>
        <w:tc>
          <w:tcPr>
            <w:tcW w:w="2268" w:type="dxa"/>
            <w:vAlign w:val="center"/>
          </w:tcPr>
          <w:p>
            <w:pPr>
              <w:pStyle w:val="26"/>
            </w:pPr>
            <w:r>
              <w:t>年度工作计划</w:t>
            </w:r>
          </w:p>
        </w:tc>
      </w:tr>
    </w:tbl>
    <w:p>
      <w:pPr>
        <w:pStyle w:val="24"/>
      </w:pPr>
    </w:p>
    <w:p>
      <w:pPr>
        <w:pStyle w:val="24"/>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、果皮箱和游园座椅经费绩效目标表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1.保障创建省级文明县城顺利通过，在人民公园安放100把座椅、200个果皮箱</w:t>
            </w:r>
          </w:p>
          <w:p>
            <w:pPr>
              <w:pStyle w:val="26"/>
            </w:pPr>
            <w:r>
              <w:t>2.改善园区基础设施，美化城市形象</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放置果皮箱数量</w:t>
            </w:r>
          </w:p>
        </w:tc>
        <w:tc>
          <w:tcPr>
            <w:tcW w:w="2835" w:type="dxa"/>
            <w:vAlign w:val="center"/>
          </w:tcPr>
          <w:p>
            <w:pPr>
              <w:pStyle w:val="26"/>
            </w:pPr>
            <w:r>
              <w:t>园区新增果皮箱数量</w:t>
            </w:r>
          </w:p>
        </w:tc>
        <w:tc>
          <w:tcPr>
            <w:tcW w:w="2551" w:type="dxa"/>
            <w:vAlign w:val="center"/>
          </w:tcPr>
          <w:p>
            <w:pPr>
              <w:pStyle w:val="26"/>
            </w:pPr>
            <w:r>
              <w:t>200个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采购合格率</w:t>
            </w:r>
          </w:p>
        </w:tc>
        <w:tc>
          <w:tcPr>
            <w:tcW w:w="2835" w:type="dxa"/>
            <w:vAlign w:val="center"/>
          </w:tcPr>
          <w:p>
            <w:pPr>
              <w:pStyle w:val="26"/>
            </w:pPr>
            <w:r>
              <w:t>验收合格的设备数量与总购置数量的比值</w:t>
            </w:r>
          </w:p>
        </w:tc>
        <w:tc>
          <w:tcPr>
            <w:tcW w:w="2551" w:type="dxa"/>
            <w:vAlign w:val="center"/>
          </w:tcPr>
          <w:p>
            <w:pPr>
              <w:pStyle w:val="26"/>
            </w:pPr>
            <w:r>
              <w:t>100%</w:t>
            </w:r>
          </w:p>
        </w:tc>
        <w:tc>
          <w:tcPr>
            <w:tcW w:w="2268" w:type="dxa"/>
            <w:vAlign w:val="center"/>
          </w:tcPr>
          <w:p>
            <w:pPr>
              <w:pStyle w:val="26"/>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交货及时率</w:t>
            </w:r>
          </w:p>
        </w:tc>
        <w:tc>
          <w:tcPr>
            <w:tcW w:w="2835" w:type="dxa"/>
            <w:vAlign w:val="center"/>
          </w:tcPr>
          <w:p>
            <w:pPr>
              <w:pStyle w:val="26"/>
            </w:pPr>
            <w:r>
              <w:t>及时交货的数量与计划采购数量的比值</w:t>
            </w:r>
          </w:p>
        </w:tc>
        <w:tc>
          <w:tcPr>
            <w:tcW w:w="2551" w:type="dxa"/>
            <w:vAlign w:val="center"/>
          </w:tcPr>
          <w:p>
            <w:pPr>
              <w:pStyle w:val="26"/>
            </w:pPr>
            <w:r>
              <w:t>100%</w:t>
            </w:r>
          </w:p>
        </w:tc>
        <w:tc>
          <w:tcPr>
            <w:tcW w:w="2268" w:type="dxa"/>
            <w:vAlign w:val="center"/>
          </w:tcPr>
          <w:p>
            <w:pPr>
              <w:pStyle w:val="26"/>
            </w:pPr>
            <w:r>
              <w:t>验收单及年度工作计划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资金支付及时率</w:t>
            </w:r>
          </w:p>
        </w:tc>
        <w:tc>
          <w:tcPr>
            <w:tcW w:w="2835" w:type="dxa"/>
            <w:vAlign w:val="center"/>
          </w:tcPr>
          <w:p>
            <w:pPr>
              <w:pStyle w:val="26"/>
            </w:pPr>
            <w:r>
              <w:t>反映资金支付的及时性状况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实际支出金额占预算金额的百分比</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工作开展持续性</w:t>
            </w:r>
          </w:p>
        </w:tc>
        <w:tc>
          <w:tcPr>
            <w:tcW w:w="2835" w:type="dxa"/>
            <w:vAlign w:val="center"/>
          </w:tcPr>
          <w:p>
            <w:pPr>
              <w:pStyle w:val="26"/>
            </w:pPr>
            <w:r>
              <w:t>反映工作开展的持续性状况</w:t>
            </w:r>
          </w:p>
        </w:tc>
        <w:tc>
          <w:tcPr>
            <w:tcW w:w="2551" w:type="dxa"/>
            <w:vAlign w:val="center"/>
          </w:tcPr>
          <w:p>
            <w:pPr>
              <w:pStyle w:val="26"/>
            </w:pPr>
            <w:r>
              <w:t>100%</w:t>
            </w:r>
          </w:p>
        </w:tc>
        <w:tc>
          <w:tcPr>
            <w:tcW w:w="2268" w:type="dxa"/>
            <w:vAlign w:val="center"/>
          </w:tcPr>
          <w:p>
            <w:pPr>
              <w:pStyle w:val="26"/>
            </w:pPr>
            <w:r>
              <w:t>年度工作计划</w:t>
            </w:r>
          </w:p>
        </w:tc>
      </w:tr>
    </w:tbl>
    <w:p>
      <w:pPr>
        <w:pStyle w:val="24"/>
      </w:pPr>
    </w:p>
    <w:p>
      <w:pPr>
        <w:pStyle w:val="24"/>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、政府院内绿化工程绩效目标表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1.对政府大院内绿植进行修剪、栽植</w:t>
            </w:r>
          </w:p>
          <w:p>
            <w:pPr>
              <w:pStyle w:val="26"/>
            </w:pPr>
            <w:r>
              <w:t>2.美化政府大院环境，提升城市形象</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灌木完成数量</w:t>
            </w:r>
          </w:p>
        </w:tc>
        <w:tc>
          <w:tcPr>
            <w:tcW w:w="2835" w:type="dxa"/>
            <w:vAlign w:val="center"/>
          </w:tcPr>
          <w:p>
            <w:pPr>
              <w:pStyle w:val="26"/>
            </w:pPr>
            <w:r>
              <w:t>实际栽植移植各类灌木数量</w:t>
            </w:r>
          </w:p>
        </w:tc>
        <w:tc>
          <w:tcPr>
            <w:tcW w:w="2551" w:type="dxa"/>
            <w:vAlign w:val="center"/>
          </w:tcPr>
          <w:p>
            <w:pPr>
              <w:pStyle w:val="26"/>
            </w:pPr>
            <w:r>
              <w:t>150株</w:t>
            </w:r>
          </w:p>
        </w:tc>
        <w:tc>
          <w:tcPr>
            <w:tcW w:w="2268" w:type="dxa"/>
            <w:vAlign w:val="center"/>
          </w:tcPr>
          <w:p>
            <w:pPr>
              <w:pStyle w:val="26"/>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验收合格数量占施工总数量的比例</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工作按时完成率</w:t>
            </w:r>
          </w:p>
        </w:tc>
        <w:tc>
          <w:tcPr>
            <w:tcW w:w="2835" w:type="dxa"/>
            <w:vAlign w:val="center"/>
          </w:tcPr>
          <w:p>
            <w:pPr>
              <w:pStyle w:val="26"/>
            </w:pPr>
            <w:r>
              <w:t>施工合同签订的最晚完成时间，2020年5月30日前完成</w:t>
            </w:r>
          </w:p>
        </w:tc>
        <w:tc>
          <w:tcPr>
            <w:tcW w:w="2551" w:type="dxa"/>
            <w:vAlign w:val="center"/>
          </w:tcPr>
          <w:p>
            <w:pPr>
              <w:pStyle w:val="26"/>
            </w:pPr>
            <w:r>
              <w:t>100%</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工作开展效果的持续性</w:t>
            </w:r>
          </w:p>
        </w:tc>
        <w:tc>
          <w:tcPr>
            <w:tcW w:w="2835" w:type="dxa"/>
            <w:vAlign w:val="center"/>
          </w:tcPr>
          <w:p>
            <w:pPr>
              <w:pStyle w:val="26"/>
            </w:pPr>
            <w:r>
              <w:t>反映工作效果开展的持续性情况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公众满意度</w:t>
            </w:r>
          </w:p>
        </w:tc>
        <w:tc>
          <w:tcPr>
            <w:tcW w:w="2835" w:type="dxa"/>
            <w:vAlign w:val="center"/>
          </w:tcPr>
          <w:p>
            <w:pPr>
              <w:pStyle w:val="26"/>
            </w:pPr>
            <w:r>
              <w:t>达到基本满意以上的受访人员与全体受访人数的比值</w:t>
            </w:r>
          </w:p>
        </w:tc>
        <w:tc>
          <w:tcPr>
            <w:tcW w:w="2551" w:type="dxa"/>
            <w:vAlign w:val="center"/>
          </w:tcPr>
          <w:p>
            <w:pPr>
              <w:pStyle w:val="26"/>
            </w:pPr>
            <w:r>
              <w:t>≥95%</w:t>
            </w:r>
          </w:p>
        </w:tc>
        <w:tc>
          <w:tcPr>
            <w:tcW w:w="2268" w:type="dxa"/>
            <w:vAlign w:val="center"/>
          </w:tcPr>
          <w:p>
            <w:pPr>
              <w:pStyle w:val="26"/>
            </w:pPr>
            <w:r>
              <w:t>问卷调查</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17</w:t>
      </w:r>
      <w:r>
        <w:rPr>
          <w:rFonts w:ascii="方正仿宋_GBK" w:hAnsi="方正仿宋_GBK" w:eastAsia="方正仿宋_GBK" w:cs="方正仿宋_GBK"/>
          <w:b/>
          <w:color w:val="000000"/>
          <w:sz w:val="28"/>
        </w:rPr>
        <w:t>、执法局城区公厕运行维护费绩效目标表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1.保障城区公厕正常运行</w:t>
            </w:r>
          </w:p>
          <w:p>
            <w:pPr>
              <w:pStyle w:val="26"/>
            </w:pPr>
            <w:r>
              <w:t>2.完善城市整体功能，提升城市形象品质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公厕正常运行数量</w:t>
            </w:r>
          </w:p>
        </w:tc>
        <w:tc>
          <w:tcPr>
            <w:tcW w:w="2835" w:type="dxa"/>
            <w:vAlign w:val="center"/>
          </w:tcPr>
          <w:p>
            <w:pPr>
              <w:pStyle w:val="26"/>
            </w:pPr>
            <w:r>
              <w:t>城区范围内正常运转的公厕数量</w:t>
            </w:r>
          </w:p>
        </w:tc>
        <w:tc>
          <w:tcPr>
            <w:tcW w:w="2551" w:type="dxa"/>
            <w:vAlign w:val="center"/>
          </w:tcPr>
          <w:p>
            <w:pPr>
              <w:pStyle w:val="26"/>
            </w:pPr>
            <w:r>
              <w:t>17座</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维修合格率</w:t>
            </w:r>
          </w:p>
        </w:tc>
        <w:tc>
          <w:tcPr>
            <w:tcW w:w="2835" w:type="dxa"/>
            <w:vAlign w:val="center"/>
          </w:tcPr>
          <w:p>
            <w:pPr>
              <w:pStyle w:val="26"/>
            </w:pPr>
            <w:r>
              <w:t>维修质量合格产品与全部维修产品比例</w:t>
            </w:r>
          </w:p>
        </w:tc>
        <w:tc>
          <w:tcPr>
            <w:tcW w:w="2551" w:type="dxa"/>
            <w:vAlign w:val="center"/>
          </w:tcPr>
          <w:p>
            <w:pPr>
              <w:pStyle w:val="26"/>
            </w:pPr>
            <w:r>
              <w:t>100%</w:t>
            </w:r>
          </w:p>
        </w:tc>
        <w:tc>
          <w:tcPr>
            <w:tcW w:w="2268" w:type="dxa"/>
            <w:vAlign w:val="center"/>
          </w:tcPr>
          <w:p>
            <w:pPr>
              <w:pStyle w:val="26"/>
            </w:pPr>
            <w:r>
              <w:t>验收报告、年度工作计划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资金支付及时率</w:t>
            </w:r>
          </w:p>
        </w:tc>
        <w:tc>
          <w:tcPr>
            <w:tcW w:w="2835" w:type="dxa"/>
            <w:vAlign w:val="center"/>
          </w:tcPr>
          <w:p>
            <w:pPr>
              <w:pStyle w:val="26"/>
            </w:pPr>
            <w:r>
              <w:t>按规定时间要求支出资金的比率</w:t>
            </w:r>
          </w:p>
        </w:tc>
        <w:tc>
          <w:tcPr>
            <w:tcW w:w="2551" w:type="dxa"/>
            <w:vAlign w:val="center"/>
          </w:tcPr>
          <w:p>
            <w:pPr>
              <w:pStyle w:val="26"/>
            </w:pPr>
            <w:r>
              <w:t>≥90%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工作开展的持续性</w:t>
            </w:r>
          </w:p>
        </w:tc>
        <w:tc>
          <w:tcPr>
            <w:tcW w:w="2835" w:type="dxa"/>
            <w:vAlign w:val="center"/>
          </w:tcPr>
          <w:p>
            <w:pPr>
              <w:pStyle w:val="26"/>
            </w:pPr>
            <w:r>
              <w:t>反映工作开展的持续性状况</w:t>
            </w:r>
          </w:p>
        </w:tc>
        <w:tc>
          <w:tcPr>
            <w:tcW w:w="2551" w:type="dxa"/>
            <w:vAlign w:val="center"/>
          </w:tcPr>
          <w:p>
            <w:pPr>
              <w:pStyle w:val="26"/>
            </w:pPr>
            <w:r>
              <w:t>100%</w:t>
            </w:r>
          </w:p>
        </w:tc>
        <w:tc>
          <w:tcPr>
            <w:tcW w:w="2268" w:type="dxa"/>
            <w:vAlign w:val="center"/>
          </w:tcPr>
          <w:p>
            <w:pPr>
              <w:pStyle w:val="26"/>
            </w:pPr>
            <w:r>
              <w:t>年度工作计划</w:t>
            </w:r>
          </w:p>
        </w:tc>
      </w:tr>
    </w:tbl>
    <w:p>
      <w:pPr>
        <w:pStyle w:val="24"/>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、执法局城区环卫作业市场化经费绩效目标表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1.推进城区环卫作业市场化服务，实现城区垃圾日产日清</w:t>
            </w:r>
          </w:p>
          <w:p>
            <w:pPr>
              <w:pStyle w:val="26"/>
            </w:pPr>
            <w:r>
              <w:t>2.改善城区环境卫生，提升城市形象，为居民创造整洁、干净的城市环境</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99"/>
        <w:gridCol w:w="2160"/>
        <w:gridCol w:w="4179"/>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1599" w:type="dxa"/>
            <w:vAlign w:val="center"/>
          </w:tcPr>
          <w:p>
            <w:pPr>
              <w:pStyle w:val="25"/>
            </w:pPr>
            <w:r>
              <w:t>二级指标</w:t>
            </w:r>
          </w:p>
        </w:tc>
        <w:tc>
          <w:tcPr>
            <w:tcW w:w="2160" w:type="dxa"/>
            <w:vAlign w:val="center"/>
          </w:tcPr>
          <w:p>
            <w:pPr>
              <w:pStyle w:val="25"/>
            </w:pPr>
            <w:r>
              <w:t>三级指标</w:t>
            </w:r>
          </w:p>
        </w:tc>
        <w:tc>
          <w:tcPr>
            <w:tcW w:w="4179"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1599" w:type="dxa"/>
            <w:vAlign w:val="center"/>
          </w:tcPr>
          <w:p>
            <w:pPr>
              <w:pStyle w:val="26"/>
            </w:pPr>
            <w:r>
              <w:t>数量指标</w:t>
            </w:r>
          </w:p>
        </w:tc>
        <w:tc>
          <w:tcPr>
            <w:tcW w:w="2160" w:type="dxa"/>
            <w:vAlign w:val="center"/>
          </w:tcPr>
          <w:p>
            <w:pPr>
              <w:pStyle w:val="26"/>
            </w:pPr>
            <w:r>
              <w:t>清扫工作量</w:t>
            </w:r>
          </w:p>
        </w:tc>
        <w:tc>
          <w:tcPr>
            <w:tcW w:w="4179" w:type="dxa"/>
            <w:vAlign w:val="center"/>
          </w:tcPr>
          <w:p>
            <w:pPr>
              <w:pStyle w:val="26"/>
            </w:pPr>
            <w:r>
              <w:t>实际清扫服务面积</w:t>
            </w:r>
          </w:p>
        </w:tc>
        <w:tc>
          <w:tcPr>
            <w:tcW w:w="2551" w:type="dxa"/>
            <w:vAlign w:val="center"/>
          </w:tcPr>
          <w:p>
            <w:pPr>
              <w:pStyle w:val="26"/>
            </w:pPr>
            <w:r>
              <w:t>≥333万平方米</w:t>
            </w:r>
          </w:p>
        </w:tc>
        <w:tc>
          <w:tcPr>
            <w:tcW w:w="2268" w:type="dxa"/>
            <w:vAlign w:val="center"/>
          </w:tcPr>
          <w:p>
            <w:pPr>
              <w:pStyle w:val="26"/>
            </w:pPr>
            <w:r>
              <w:t>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质量指标</w:t>
            </w:r>
          </w:p>
        </w:tc>
        <w:tc>
          <w:tcPr>
            <w:tcW w:w="2160" w:type="dxa"/>
            <w:vAlign w:val="center"/>
          </w:tcPr>
          <w:p>
            <w:pPr>
              <w:pStyle w:val="26"/>
            </w:pPr>
            <w:r>
              <w:t>清扫面积合格率</w:t>
            </w:r>
          </w:p>
        </w:tc>
        <w:tc>
          <w:tcPr>
            <w:tcW w:w="4179" w:type="dxa"/>
            <w:vAlign w:val="center"/>
          </w:tcPr>
          <w:p>
            <w:pPr>
              <w:pStyle w:val="26"/>
            </w:pPr>
            <w:r>
              <w:t>道路清扫需要达到的基本要求，提高合格率</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时效指标</w:t>
            </w:r>
          </w:p>
        </w:tc>
        <w:tc>
          <w:tcPr>
            <w:tcW w:w="2160" w:type="dxa"/>
            <w:vAlign w:val="center"/>
          </w:tcPr>
          <w:p>
            <w:pPr>
              <w:pStyle w:val="26"/>
            </w:pPr>
            <w:r>
              <w:t>完成率</w:t>
            </w:r>
          </w:p>
        </w:tc>
        <w:tc>
          <w:tcPr>
            <w:tcW w:w="4179" w:type="dxa"/>
            <w:vAlign w:val="center"/>
          </w:tcPr>
          <w:p>
            <w:pPr>
              <w:pStyle w:val="26"/>
            </w:pPr>
            <w:r>
              <w:t>反映清扫任务完成情况</w:t>
            </w:r>
          </w:p>
        </w:tc>
        <w:tc>
          <w:tcPr>
            <w:tcW w:w="2551" w:type="dxa"/>
            <w:vAlign w:val="center"/>
          </w:tcPr>
          <w:p>
            <w:pPr>
              <w:pStyle w:val="26"/>
            </w:pPr>
            <w:r>
              <w:t>100%</w:t>
            </w:r>
          </w:p>
        </w:tc>
        <w:tc>
          <w:tcPr>
            <w:tcW w:w="2268" w:type="dxa"/>
            <w:vAlign w:val="center"/>
          </w:tcPr>
          <w:p>
            <w:pPr>
              <w:pStyle w:val="26"/>
            </w:pPr>
            <w:r>
              <w:t>考核单、年度工作计划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时效指标</w:t>
            </w:r>
          </w:p>
        </w:tc>
        <w:tc>
          <w:tcPr>
            <w:tcW w:w="2160" w:type="dxa"/>
            <w:vAlign w:val="center"/>
          </w:tcPr>
          <w:p>
            <w:pPr>
              <w:pStyle w:val="26"/>
            </w:pPr>
            <w:r>
              <w:t>资金支付及时率</w:t>
            </w:r>
          </w:p>
        </w:tc>
        <w:tc>
          <w:tcPr>
            <w:tcW w:w="4179" w:type="dxa"/>
            <w:vAlign w:val="center"/>
          </w:tcPr>
          <w:p>
            <w:pPr>
              <w:pStyle w:val="26"/>
            </w:pPr>
            <w:r>
              <w:t>反映资金支付的及时性状况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成本指标</w:t>
            </w:r>
          </w:p>
        </w:tc>
        <w:tc>
          <w:tcPr>
            <w:tcW w:w="2160" w:type="dxa"/>
            <w:vAlign w:val="center"/>
          </w:tcPr>
          <w:p>
            <w:pPr>
              <w:pStyle w:val="26"/>
            </w:pPr>
            <w:r>
              <w:t>成本控制率</w:t>
            </w:r>
          </w:p>
        </w:tc>
        <w:tc>
          <w:tcPr>
            <w:tcW w:w="4179"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1599" w:type="dxa"/>
            <w:vAlign w:val="center"/>
          </w:tcPr>
          <w:p>
            <w:pPr>
              <w:pStyle w:val="26"/>
            </w:pPr>
            <w:r>
              <w:t>社会效益指标</w:t>
            </w:r>
          </w:p>
        </w:tc>
        <w:tc>
          <w:tcPr>
            <w:tcW w:w="2160" w:type="dxa"/>
            <w:vAlign w:val="center"/>
          </w:tcPr>
          <w:p>
            <w:pPr>
              <w:pStyle w:val="26"/>
            </w:pPr>
            <w:r>
              <w:t>居住环境投诉率</w:t>
            </w:r>
          </w:p>
        </w:tc>
        <w:tc>
          <w:tcPr>
            <w:tcW w:w="4179" w:type="dxa"/>
            <w:vAlign w:val="center"/>
          </w:tcPr>
          <w:p>
            <w:pPr>
              <w:pStyle w:val="26"/>
            </w:pPr>
            <w:r>
              <w:t>提升城市形象，美化城市环境，降低居民投诉率</w:t>
            </w:r>
          </w:p>
        </w:tc>
        <w:tc>
          <w:tcPr>
            <w:tcW w:w="2551" w:type="dxa"/>
            <w:vAlign w:val="center"/>
          </w:tcPr>
          <w:p>
            <w:pPr>
              <w:pStyle w:val="26"/>
            </w:pPr>
            <w:r>
              <w:t>≤10%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1599" w:type="dxa"/>
            <w:vAlign w:val="center"/>
          </w:tcPr>
          <w:p>
            <w:pPr>
              <w:pStyle w:val="26"/>
            </w:pPr>
            <w:r>
              <w:t>服务对象满意度指标</w:t>
            </w:r>
          </w:p>
        </w:tc>
        <w:tc>
          <w:tcPr>
            <w:tcW w:w="2160" w:type="dxa"/>
            <w:vAlign w:val="center"/>
          </w:tcPr>
          <w:p>
            <w:pPr>
              <w:pStyle w:val="26"/>
            </w:pPr>
            <w:r>
              <w:t>群众满意度</w:t>
            </w:r>
          </w:p>
        </w:tc>
        <w:tc>
          <w:tcPr>
            <w:tcW w:w="4179" w:type="dxa"/>
            <w:vAlign w:val="center"/>
          </w:tcPr>
          <w:p>
            <w:pPr>
              <w:pStyle w:val="26"/>
            </w:pPr>
            <w:r>
              <w:t>受访群众达到基本满意以上人数与全体受访人数的比值</w:t>
            </w:r>
          </w:p>
        </w:tc>
        <w:tc>
          <w:tcPr>
            <w:tcW w:w="2551" w:type="dxa"/>
            <w:vAlign w:val="center"/>
          </w:tcPr>
          <w:p>
            <w:pPr>
              <w:pStyle w:val="26"/>
            </w:pPr>
            <w:r>
              <w:t>≥90%</w:t>
            </w:r>
          </w:p>
        </w:tc>
        <w:tc>
          <w:tcPr>
            <w:tcW w:w="2268" w:type="dxa"/>
            <w:vAlign w:val="center"/>
          </w:tcPr>
          <w:p>
            <w:pPr>
              <w:pStyle w:val="26"/>
            </w:pPr>
            <w:r>
              <w:t>问卷调查</w:t>
            </w:r>
          </w:p>
        </w:tc>
      </w:tr>
    </w:tbl>
    <w:p>
      <w:pPr>
        <w:pStyle w:val="24"/>
      </w:pPr>
    </w:p>
    <w:p>
      <w:pPr>
        <w:pStyle w:val="24"/>
        <w:ind w:firstLine="560"/>
      </w:pPr>
      <w:r>
        <w:rPr>
          <w:rFonts w:hint="eastAsia" w:ascii="方正仿宋_GBK" w:hAnsi="方正仿宋_GBK" w:eastAsia="方正仿宋_GBK" w:cs="方正仿宋_GBK"/>
          <w:b/>
          <w:color w:val="000000"/>
          <w:sz w:val="28"/>
          <w:lang w:val="en-US" w:eastAsia="zh-CN"/>
        </w:rPr>
        <w:t>19</w:t>
      </w:r>
      <w:r>
        <w:rPr>
          <w:rFonts w:ascii="方正仿宋_GBK" w:hAnsi="方正仿宋_GBK" w:eastAsia="方正仿宋_GBK" w:cs="方正仿宋_GBK"/>
          <w:b/>
          <w:color w:val="000000"/>
          <w:sz w:val="28"/>
        </w:rPr>
        <w:t>、执法局服装购置费绩效目标表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执法人员服装及标志标识统一，使城市管理更加规范化</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99"/>
        <w:gridCol w:w="2175"/>
        <w:gridCol w:w="416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1599" w:type="dxa"/>
            <w:vAlign w:val="center"/>
          </w:tcPr>
          <w:p>
            <w:pPr>
              <w:pStyle w:val="25"/>
            </w:pPr>
            <w:r>
              <w:t>二级指标</w:t>
            </w:r>
          </w:p>
        </w:tc>
        <w:tc>
          <w:tcPr>
            <w:tcW w:w="2175" w:type="dxa"/>
            <w:vAlign w:val="center"/>
          </w:tcPr>
          <w:p>
            <w:pPr>
              <w:pStyle w:val="25"/>
            </w:pPr>
            <w:r>
              <w:t>三级指标</w:t>
            </w:r>
          </w:p>
        </w:tc>
        <w:tc>
          <w:tcPr>
            <w:tcW w:w="4164"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1599" w:type="dxa"/>
            <w:vAlign w:val="center"/>
          </w:tcPr>
          <w:p>
            <w:pPr>
              <w:pStyle w:val="26"/>
            </w:pPr>
            <w:r>
              <w:t>数量指标</w:t>
            </w:r>
          </w:p>
        </w:tc>
        <w:tc>
          <w:tcPr>
            <w:tcW w:w="2175" w:type="dxa"/>
            <w:vAlign w:val="center"/>
          </w:tcPr>
          <w:p>
            <w:pPr>
              <w:pStyle w:val="26"/>
            </w:pPr>
            <w:r>
              <w:t>采购数量</w:t>
            </w:r>
          </w:p>
        </w:tc>
        <w:tc>
          <w:tcPr>
            <w:tcW w:w="4164" w:type="dxa"/>
            <w:vAlign w:val="center"/>
          </w:tcPr>
          <w:p>
            <w:pPr>
              <w:pStyle w:val="26"/>
            </w:pPr>
            <w:r>
              <w:t>当年度计划更新服装的执法人员数量</w:t>
            </w:r>
          </w:p>
        </w:tc>
        <w:tc>
          <w:tcPr>
            <w:tcW w:w="2551" w:type="dxa"/>
            <w:vAlign w:val="center"/>
          </w:tcPr>
          <w:p>
            <w:pPr>
              <w:pStyle w:val="26"/>
            </w:pPr>
            <w:r>
              <w:t>147人</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质量指标</w:t>
            </w:r>
          </w:p>
        </w:tc>
        <w:tc>
          <w:tcPr>
            <w:tcW w:w="2175" w:type="dxa"/>
            <w:vAlign w:val="center"/>
          </w:tcPr>
          <w:p>
            <w:pPr>
              <w:pStyle w:val="26"/>
            </w:pPr>
            <w:r>
              <w:t>合格率</w:t>
            </w:r>
          </w:p>
        </w:tc>
        <w:tc>
          <w:tcPr>
            <w:tcW w:w="4164" w:type="dxa"/>
            <w:vAlign w:val="center"/>
          </w:tcPr>
          <w:p>
            <w:pPr>
              <w:pStyle w:val="26"/>
            </w:pPr>
            <w:r>
              <w:t>采购合格产品与全部产品的比值</w:t>
            </w:r>
          </w:p>
        </w:tc>
        <w:tc>
          <w:tcPr>
            <w:tcW w:w="2551" w:type="dxa"/>
            <w:vAlign w:val="center"/>
          </w:tcPr>
          <w:p>
            <w:pPr>
              <w:pStyle w:val="26"/>
            </w:pPr>
            <w:r>
              <w:t>100%</w:t>
            </w:r>
          </w:p>
        </w:tc>
        <w:tc>
          <w:tcPr>
            <w:tcW w:w="2268" w:type="dxa"/>
            <w:vAlign w:val="center"/>
          </w:tcPr>
          <w:p>
            <w:pPr>
              <w:pStyle w:val="26"/>
            </w:pPr>
            <w:r>
              <w:t>验收清单，年度工作计划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时效指标</w:t>
            </w:r>
          </w:p>
        </w:tc>
        <w:tc>
          <w:tcPr>
            <w:tcW w:w="2175" w:type="dxa"/>
            <w:vAlign w:val="center"/>
          </w:tcPr>
          <w:p>
            <w:pPr>
              <w:pStyle w:val="26"/>
            </w:pPr>
            <w:r>
              <w:t>交货及时率</w:t>
            </w:r>
          </w:p>
        </w:tc>
        <w:tc>
          <w:tcPr>
            <w:tcW w:w="4164" w:type="dxa"/>
            <w:vAlign w:val="center"/>
          </w:tcPr>
          <w:p>
            <w:pPr>
              <w:pStyle w:val="26"/>
            </w:pPr>
            <w:r>
              <w:t>及时交货的数量与计划采购数量的比值</w:t>
            </w:r>
          </w:p>
        </w:tc>
        <w:tc>
          <w:tcPr>
            <w:tcW w:w="2551" w:type="dxa"/>
            <w:vAlign w:val="center"/>
          </w:tcPr>
          <w:p>
            <w:pPr>
              <w:pStyle w:val="26"/>
            </w:pPr>
            <w:r>
              <w:t>≥90%</w:t>
            </w:r>
          </w:p>
        </w:tc>
        <w:tc>
          <w:tcPr>
            <w:tcW w:w="2268" w:type="dxa"/>
            <w:vAlign w:val="center"/>
          </w:tcPr>
          <w:p>
            <w:pPr>
              <w:pStyle w:val="26"/>
            </w:pPr>
            <w:r>
              <w:t>验收清单、年度工作计划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成本指标</w:t>
            </w:r>
          </w:p>
        </w:tc>
        <w:tc>
          <w:tcPr>
            <w:tcW w:w="2175" w:type="dxa"/>
            <w:vAlign w:val="center"/>
          </w:tcPr>
          <w:p>
            <w:pPr>
              <w:pStyle w:val="26"/>
            </w:pPr>
            <w:r>
              <w:t>采购单价</w:t>
            </w:r>
          </w:p>
        </w:tc>
        <w:tc>
          <w:tcPr>
            <w:tcW w:w="4164" w:type="dxa"/>
            <w:vAlign w:val="center"/>
          </w:tcPr>
          <w:p>
            <w:pPr>
              <w:pStyle w:val="26"/>
            </w:pPr>
            <w:r>
              <w:t>拟采购全套服装单价</w:t>
            </w:r>
          </w:p>
        </w:tc>
        <w:tc>
          <w:tcPr>
            <w:tcW w:w="2551" w:type="dxa"/>
            <w:vAlign w:val="center"/>
          </w:tcPr>
          <w:p>
            <w:pPr>
              <w:pStyle w:val="26"/>
            </w:pPr>
            <w:r>
              <w:t>≤5400元/套</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成本指标</w:t>
            </w:r>
          </w:p>
        </w:tc>
        <w:tc>
          <w:tcPr>
            <w:tcW w:w="2175" w:type="dxa"/>
            <w:vAlign w:val="center"/>
          </w:tcPr>
          <w:p>
            <w:pPr>
              <w:pStyle w:val="26"/>
            </w:pPr>
            <w:r>
              <w:t>成本控制率</w:t>
            </w:r>
          </w:p>
        </w:tc>
        <w:tc>
          <w:tcPr>
            <w:tcW w:w="4164"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1599" w:type="dxa"/>
            <w:vAlign w:val="center"/>
          </w:tcPr>
          <w:p>
            <w:pPr>
              <w:pStyle w:val="26"/>
            </w:pPr>
            <w:r>
              <w:t>社会效益指标</w:t>
            </w:r>
          </w:p>
        </w:tc>
        <w:tc>
          <w:tcPr>
            <w:tcW w:w="2175" w:type="dxa"/>
            <w:vAlign w:val="center"/>
          </w:tcPr>
          <w:p>
            <w:pPr>
              <w:pStyle w:val="26"/>
            </w:pPr>
            <w:r>
              <w:t>执法工作着装合格率</w:t>
            </w:r>
          </w:p>
        </w:tc>
        <w:tc>
          <w:tcPr>
            <w:tcW w:w="4164" w:type="dxa"/>
            <w:vAlign w:val="center"/>
          </w:tcPr>
          <w:p>
            <w:pPr>
              <w:pStyle w:val="26"/>
            </w:pPr>
            <w:r>
              <w:t>树立文明执法形象，增强执法人员自律性</w:t>
            </w:r>
          </w:p>
        </w:tc>
        <w:tc>
          <w:tcPr>
            <w:tcW w:w="2551" w:type="dxa"/>
            <w:vAlign w:val="center"/>
          </w:tcPr>
          <w:p>
            <w:pPr>
              <w:pStyle w:val="26"/>
            </w:pPr>
            <w:r>
              <w:t>100%</w:t>
            </w:r>
          </w:p>
        </w:tc>
        <w:tc>
          <w:tcPr>
            <w:tcW w:w="2268" w:type="dxa"/>
            <w:vAlign w:val="center"/>
          </w:tcPr>
          <w:p>
            <w:pPr>
              <w:pStyle w:val="26"/>
            </w:pPr>
            <w:r>
              <w:t>年度工作计划</w:t>
            </w:r>
          </w:p>
        </w:tc>
      </w:tr>
    </w:tbl>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、执法局垃圾中转站运行维护费绩效目标表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1.保障垃圾中转站正常运转</w:t>
            </w:r>
          </w:p>
          <w:p>
            <w:pPr>
              <w:pStyle w:val="26"/>
            </w:pPr>
            <w:r>
              <w:t>2.实现垃圾日产日清，改善城乡环境卫生脏乱差现状</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84"/>
        <w:gridCol w:w="2190"/>
        <w:gridCol w:w="416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1584" w:type="dxa"/>
            <w:vAlign w:val="center"/>
          </w:tcPr>
          <w:p>
            <w:pPr>
              <w:pStyle w:val="25"/>
            </w:pPr>
            <w:r>
              <w:t>二级指标</w:t>
            </w:r>
          </w:p>
        </w:tc>
        <w:tc>
          <w:tcPr>
            <w:tcW w:w="2190" w:type="dxa"/>
            <w:vAlign w:val="center"/>
          </w:tcPr>
          <w:p>
            <w:pPr>
              <w:pStyle w:val="25"/>
            </w:pPr>
            <w:r>
              <w:t>三级指标</w:t>
            </w:r>
          </w:p>
        </w:tc>
        <w:tc>
          <w:tcPr>
            <w:tcW w:w="4164"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1584" w:type="dxa"/>
            <w:vAlign w:val="center"/>
          </w:tcPr>
          <w:p>
            <w:pPr>
              <w:pStyle w:val="26"/>
            </w:pPr>
            <w:r>
              <w:t>数量指标</w:t>
            </w:r>
          </w:p>
        </w:tc>
        <w:tc>
          <w:tcPr>
            <w:tcW w:w="2190" w:type="dxa"/>
            <w:vAlign w:val="center"/>
          </w:tcPr>
          <w:p>
            <w:pPr>
              <w:pStyle w:val="26"/>
            </w:pPr>
            <w:r>
              <w:t>设备运转率</w:t>
            </w:r>
          </w:p>
        </w:tc>
        <w:tc>
          <w:tcPr>
            <w:tcW w:w="4164" w:type="dxa"/>
            <w:vAlign w:val="center"/>
          </w:tcPr>
          <w:p>
            <w:pPr>
              <w:pStyle w:val="26"/>
            </w:pPr>
            <w:r>
              <w:t>正常运转设备占全部设备数量的比例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质量指标</w:t>
            </w:r>
          </w:p>
        </w:tc>
        <w:tc>
          <w:tcPr>
            <w:tcW w:w="2190" w:type="dxa"/>
            <w:vAlign w:val="center"/>
          </w:tcPr>
          <w:p>
            <w:pPr>
              <w:pStyle w:val="26"/>
            </w:pPr>
            <w:r>
              <w:t>维修合格率</w:t>
            </w:r>
          </w:p>
        </w:tc>
        <w:tc>
          <w:tcPr>
            <w:tcW w:w="4164" w:type="dxa"/>
            <w:vAlign w:val="center"/>
          </w:tcPr>
          <w:p>
            <w:pPr>
              <w:pStyle w:val="26"/>
            </w:pPr>
            <w:r>
              <w:t>维修质量合格产品与全部维修产品比例</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时效指标</w:t>
            </w:r>
          </w:p>
        </w:tc>
        <w:tc>
          <w:tcPr>
            <w:tcW w:w="2190" w:type="dxa"/>
            <w:vAlign w:val="center"/>
          </w:tcPr>
          <w:p>
            <w:pPr>
              <w:pStyle w:val="26"/>
            </w:pPr>
            <w:r>
              <w:t>资金支付及时性</w:t>
            </w:r>
          </w:p>
        </w:tc>
        <w:tc>
          <w:tcPr>
            <w:tcW w:w="4164" w:type="dxa"/>
            <w:vAlign w:val="center"/>
          </w:tcPr>
          <w:p>
            <w:pPr>
              <w:pStyle w:val="26"/>
            </w:pPr>
            <w:r>
              <w:t>是否在规定时间内对资金进行支付</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成本指标</w:t>
            </w:r>
          </w:p>
        </w:tc>
        <w:tc>
          <w:tcPr>
            <w:tcW w:w="2190" w:type="dxa"/>
            <w:vAlign w:val="center"/>
          </w:tcPr>
          <w:p>
            <w:pPr>
              <w:pStyle w:val="26"/>
            </w:pPr>
            <w:r>
              <w:t>租赁单价</w:t>
            </w:r>
          </w:p>
        </w:tc>
        <w:tc>
          <w:tcPr>
            <w:tcW w:w="4164" w:type="dxa"/>
            <w:vAlign w:val="center"/>
          </w:tcPr>
          <w:p>
            <w:pPr>
              <w:pStyle w:val="26"/>
            </w:pPr>
            <w:r>
              <w:t>专用车辆租赁单价</w:t>
            </w:r>
          </w:p>
        </w:tc>
        <w:tc>
          <w:tcPr>
            <w:tcW w:w="2551" w:type="dxa"/>
            <w:vAlign w:val="center"/>
          </w:tcPr>
          <w:p>
            <w:pPr>
              <w:pStyle w:val="26"/>
            </w:pPr>
            <w:r>
              <w:t>≤1.5万元/月</w:t>
            </w:r>
          </w:p>
        </w:tc>
        <w:tc>
          <w:tcPr>
            <w:tcW w:w="2268" w:type="dxa"/>
            <w:vAlign w:val="center"/>
          </w:tcPr>
          <w:p>
            <w:pPr>
              <w:pStyle w:val="26"/>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成本指标</w:t>
            </w:r>
          </w:p>
        </w:tc>
        <w:tc>
          <w:tcPr>
            <w:tcW w:w="2190" w:type="dxa"/>
            <w:vAlign w:val="center"/>
          </w:tcPr>
          <w:p>
            <w:pPr>
              <w:pStyle w:val="26"/>
            </w:pPr>
            <w:r>
              <w:t>成本控制率</w:t>
            </w:r>
          </w:p>
        </w:tc>
        <w:tc>
          <w:tcPr>
            <w:tcW w:w="4164"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1584" w:type="dxa"/>
            <w:vAlign w:val="center"/>
          </w:tcPr>
          <w:p>
            <w:pPr>
              <w:pStyle w:val="26"/>
            </w:pPr>
            <w:r>
              <w:t>社会效益指标</w:t>
            </w:r>
          </w:p>
        </w:tc>
        <w:tc>
          <w:tcPr>
            <w:tcW w:w="2190" w:type="dxa"/>
            <w:vAlign w:val="center"/>
          </w:tcPr>
          <w:p>
            <w:pPr>
              <w:pStyle w:val="26"/>
            </w:pPr>
            <w:r>
              <w:t>中转站问题投诉率</w:t>
            </w:r>
          </w:p>
        </w:tc>
        <w:tc>
          <w:tcPr>
            <w:tcW w:w="4164" w:type="dxa"/>
            <w:vAlign w:val="center"/>
          </w:tcPr>
          <w:p>
            <w:pPr>
              <w:pStyle w:val="26"/>
            </w:pPr>
            <w:r>
              <w:t>反映因维护不利，居民群众投诉的情况</w:t>
            </w:r>
          </w:p>
        </w:tc>
        <w:tc>
          <w:tcPr>
            <w:tcW w:w="2551" w:type="dxa"/>
            <w:vAlign w:val="center"/>
          </w:tcPr>
          <w:p>
            <w:pPr>
              <w:pStyle w:val="26"/>
            </w:pPr>
            <w:r>
              <w:t>≤10%</w:t>
            </w:r>
          </w:p>
        </w:tc>
        <w:tc>
          <w:tcPr>
            <w:tcW w:w="2268" w:type="dxa"/>
            <w:vAlign w:val="center"/>
          </w:tcPr>
          <w:p>
            <w:pPr>
              <w:pStyle w:val="26"/>
            </w:pPr>
            <w:r>
              <w:t>年度工作计划</w:t>
            </w:r>
          </w:p>
        </w:tc>
      </w:tr>
    </w:tbl>
    <w:p>
      <w:pPr>
        <w:pStyle w:val="24"/>
      </w:pPr>
    </w:p>
    <w:p>
      <w:pPr>
        <w:pStyle w:val="24"/>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、执法局农村环卫作业市场化经费绩效目标表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1.保障全县123个村庄清扫保洁和垃圾清运</w:t>
            </w:r>
          </w:p>
          <w:p>
            <w:pPr>
              <w:pStyle w:val="26"/>
            </w:pPr>
            <w:r>
              <w:t>2.改善农村街道脏乱差面貌，创建干净整洁的农村新形象</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99"/>
        <w:gridCol w:w="2175"/>
        <w:gridCol w:w="416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1599" w:type="dxa"/>
            <w:vAlign w:val="center"/>
          </w:tcPr>
          <w:p>
            <w:pPr>
              <w:pStyle w:val="25"/>
            </w:pPr>
            <w:r>
              <w:t>二级指标</w:t>
            </w:r>
          </w:p>
        </w:tc>
        <w:tc>
          <w:tcPr>
            <w:tcW w:w="2175" w:type="dxa"/>
            <w:vAlign w:val="center"/>
          </w:tcPr>
          <w:p>
            <w:pPr>
              <w:pStyle w:val="25"/>
            </w:pPr>
            <w:r>
              <w:t>三级指标</w:t>
            </w:r>
          </w:p>
        </w:tc>
        <w:tc>
          <w:tcPr>
            <w:tcW w:w="4164"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1599" w:type="dxa"/>
            <w:vAlign w:val="center"/>
          </w:tcPr>
          <w:p>
            <w:pPr>
              <w:pStyle w:val="26"/>
            </w:pPr>
            <w:r>
              <w:t>数量指标</w:t>
            </w:r>
          </w:p>
        </w:tc>
        <w:tc>
          <w:tcPr>
            <w:tcW w:w="2175" w:type="dxa"/>
            <w:vAlign w:val="center"/>
          </w:tcPr>
          <w:p>
            <w:pPr>
              <w:pStyle w:val="26"/>
            </w:pPr>
            <w:r>
              <w:t>服务村庄数量</w:t>
            </w:r>
          </w:p>
        </w:tc>
        <w:tc>
          <w:tcPr>
            <w:tcW w:w="4164" w:type="dxa"/>
            <w:vAlign w:val="center"/>
          </w:tcPr>
          <w:p>
            <w:pPr>
              <w:pStyle w:val="26"/>
            </w:pPr>
            <w:r>
              <w:t>辖区范围内服务村庄覆盖数量</w:t>
            </w:r>
          </w:p>
        </w:tc>
        <w:tc>
          <w:tcPr>
            <w:tcW w:w="2551" w:type="dxa"/>
            <w:vAlign w:val="center"/>
          </w:tcPr>
          <w:p>
            <w:pPr>
              <w:pStyle w:val="26"/>
            </w:pPr>
            <w:r>
              <w:t>123个</w:t>
            </w:r>
          </w:p>
        </w:tc>
        <w:tc>
          <w:tcPr>
            <w:tcW w:w="2268" w:type="dxa"/>
            <w:vAlign w:val="center"/>
          </w:tcPr>
          <w:p>
            <w:pPr>
              <w:pStyle w:val="26"/>
            </w:pPr>
            <w:r>
              <w:t>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质量指标</w:t>
            </w:r>
          </w:p>
        </w:tc>
        <w:tc>
          <w:tcPr>
            <w:tcW w:w="2175" w:type="dxa"/>
            <w:vAlign w:val="center"/>
          </w:tcPr>
          <w:p>
            <w:pPr>
              <w:pStyle w:val="26"/>
            </w:pPr>
            <w:r>
              <w:t>清扫区域合格率</w:t>
            </w:r>
          </w:p>
        </w:tc>
        <w:tc>
          <w:tcPr>
            <w:tcW w:w="4164" w:type="dxa"/>
            <w:vAlign w:val="center"/>
          </w:tcPr>
          <w:p>
            <w:pPr>
              <w:pStyle w:val="26"/>
            </w:pPr>
            <w:r>
              <w:t>反映项目是否按照要求清扫</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时效指标</w:t>
            </w:r>
          </w:p>
        </w:tc>
        <w:tc>
          <w:tcPr>
            <w:tcW w:w="2175" w:type="dxa"/>
            <w:vAlign w:val="center"/>
          </w:tcPr>
          <w:p>
            <w:pPr>
              <w:pStyle w:val="26"/>
            </w:pPr>
            <w:r>
              <w:t xml:space="preserve"> 工作完成率</w:t>
            </w:r>
          </w:p>
        </w:tc>
        <w:tc>
          <w:tcPr>
            <w:tcW w:w="4164" w:type="dxa"/>
            <w:vAlign w:val="center"/>
          </w:tcPr>
          <w:p>
            <w:pPr>
              <w:pStyle w:val="26"/>
            </w:pPr>
            <w:r>
              <w:t>反映清扫任务完成情况</w:t>
            </w:r>
          </w:p>
        </w:tc>
        <w:tc>
          <w:tcPr>
            <w:tcW w:w="2551" w:type="dxa"/>
            <w:vAlign w:val="center"/>
          </w:tcPr>
          <w:p>
            <w:pPr>
              <w:pStyle w:val="26"/>
            </w:pPr>
            <w:r>
              <w:t>100%</w:t>
            </w:r>
          </w:p>
        </w:tc>
        <w:tc>
          <w:tcPr>
            <w:tcW w:w="2268" w:type="dxa"/>
            <w:vAlign w:val="center"/>
          </w:tcPr>
          <w:p>
            <w:pPr>
              <w:pStyle w:val="26"/>
            </w:pPr>
            <w:r>
              <w:t>考核单、年度工作计划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时效指标</w:t>
            </w:r>
          </w:p>
        </w:tc>
        <w:tc>
          <w:tcPr>
            <w:tcW w:w="2175" w:type="dxa"/>
            <w:vAlign w:val="center"/>
          </w:tcPr>
          <w:p>
            <w:pPr>
              <w:pStyle w:val="26"/>
            </w:pPr>
            <w:r>
              <w:t>资金支付及时率</w:t>
            </w:r>
          </w:p>
        </w:tc>
        <w:tc>
          <w:tcPr>
            <w:tcW w:w="4164" w:type="dxa"/>
            <w:vAlign w:val="center"/>
          </w:tcPr>
          <w:p>
            <w:pPr>
              <w:pStyle w:val="26"/>
            </w:pPr>
            <w:r>
              <w:t>反映资金支付的及时性状况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99" w:type="dxa"/>
            <w:vAlign w:val="center"/>
          </w:tcPr>
          <w:p>
            <w:pPr>
              <w:pStyle w:val="26"/>
            </w:pPr>
            <w:r>
              <w:t>成本指标</w:t>
            </w:r>
          </w:p>
        </w:tc>
        <w:tc>
          <w:tcPr>
            <w:tcW w:w="2175" w:type="dxa"/>
            <w:vAlign w:val="center"/>
          </w:tcPr>
          <w:p>
            <w:pPr>
              <w:pStyle w:val="26"/>
            </w:pPr>
            <w:r>
              <w:t>成本控制率</w:t>
            </w:r>
          </w:p>
        </w:tc>
        <w:tc>
          <w:tcPr>
            <w:tcW w:w="4164"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1599" w:type="dxa"/>
            <w:vAlign w:val="center"/>
          </w:tcPr>
          <w:p>
            <w:pPr>
              <w:pStyle w:val="26"/>
            </w:pPr>
            <w:r>
              <w:t>社会效益指标</w:t>
            </w:r>
          </w:p>
        </w:tc>
        <w:tc>
          <w:tcPr>
            <w:tcW w:w="2175" w:type="dxa"/>
            <w:vAlign w:val="center"/>
          </w:tcPr>
          <w:p>
            <w:pPr>
              <w:pStyle w:val="26"/>
            </w:pPr>
            <w:r>
              <w:t>居住环境投诉率</w:t>
            </w:r>
          </w:p>
        </w:tc>
        <w:tc>
          <w:tcPr>
            <w:tcW w:w="4164" w:type="dxa"/>
            <w:vAlign w:val="center"/>
          </w:tcPr>
          <w:p>
            <w:pPr>
              <w:pStyle w:val="26"/>
            </w:pPr>
            <w:r>
              <w:t>提升城市形象，美化城市环境，降低居民投诉率</w:t>
            </w:r>
          </w:p>
        </w:tc>
        <w:tc>
          <w:tcPr>
            <w:tcW w:w="2551" w:type="dxa"/>
            <w:vAlign w:val="center"/>
          </w:tcPr>
          <w:p>
            <w:pPr>
              <w:pStyle w:val="26"/>
            </w:pPr>
            <w:r>
              <w:t>≤10%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1599" w:type="dxa"/>
            <w:vAlign w:val="center"/>
          </w:tcPr>
          <w:p>
            <w:pPr>
              <w:pStyle w:val="26"/>
            </w:pPr>
            <w:r>
              <w:t>服务对象满意度指标</w:t>
            </w:r>
          </w:p>
        </w:tc>
        <w:tc>
          <w:tcPr>
            <w:tcW w:w="2175" w:type="dxa"/>
            <w:vAlign w:val="center"/>
          </w:tcPr>
          <w:p>
            <w:pPr>
              <w:pStyle w:val="26"/>
            </w:pPr>
            <w:r>
              <w:t>群众满意度</w:t>
            </w:r>
          </w:p>
        </w:tc>
        <w:tc>
          <w:tcPr>
            <w:tcW w:w="4164" w:type="dxa"/>
            <w:vAlign w:val="center"/>
          </w:tcPr>
          <w:p>
            <w:pPr>
              <w:pStyle w:val="26"/>
            </w:pPr>
            <w:r>
              <w:t>受访群众达到基本满意以上人数与全体受访人数的比值</w:t>
            </w:r>
          </w:p>
        </w:tc>
        <w:tc>
          <w:tcPr>
            <w:tcW w:w="2551" w:type="dxa"/>
            <w:vAlign w:val="center"/>
          </w:tcPr>
          <w:p>
            <w:pPr>
              <w:pStyle w:val="26"/>
            </w:pPr>
            <w:r>
              <w:t>≥90%</w:t>
            </w:r>
          </w:p>
        </w:tc>
        <w:tc>
          <w:tcPr>
            <w:tcW w:w="2268" w:type="dxa"/>
            <w:vAlign w:val="center"/>
          </w:tcPr>
          <w:p>
            <w:pPr>
              <w:pStyle w:val="26"/>
            </w:pPr>
            <w:r>
              <w:t>问卷调查</w:t>
            </w:r>
          </w:p>
        </w:tc>
      </w:tr>
    </w:tbl>
    <w:p>
      <w:pPr>
        <w:pStyle w:val="24"/>
      </w:pPr>
    </w:p>
    <w:p>
      <w:pPr>
        <w:pStyle w:val="24"/>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、执法局数字化城管运行经费绩效目标表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1.搭建一条省、市、县联网服务平台</w:t>
            </w:r>
          </w:p>
          <w:p>
            <w:pPr>
              <w:pStyle w:val="26"/>
            </w:pPr>
            <w:r>
              <w:t>2.保障数字化管理平台正常运行</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84"/>
        <w:gridCol w:w="2175"/>
        <w:gridCol w:w="4179"/>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1584" w:type="dxa"/>
            <w:vAlign w:val="center"/>
          </w:tcPr>
          <w:p>
            <w:pPr>
              <w:pStyle w:val="25"/>
            </w:pPr>
            <w:r>
              <w:t>二级指标</w:t>
            </w:r>
          </w:p>
        </w:tc>
        <w:tc>
          <w:tcPr>
            <w:tcW w:w="2175" w:type="dxa"/>
            <w:vAlign w:val="center"/>
          </w:tcPr>
          <w:p>
            <w:pPr>
              <w:pStyle w:val="25"/>
            </w:pPr>
            <w:r>
              <w:t>三级指标</w:t>
            </w:r>
          </w:p>
        </w:tc>
        <w:tc>
          <w:tcPr>
            <w:tcW w:w="4179"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1584" w:type="dxa"/>
            <w:vAlign w:val="center"/>
          </w:tcPr>
          <w:p>
            <w:pPr>
              <w:pStyle w:val="26"/>
            </w:pPr>
            <w:r>
              <w:t>数量指标</w:t>
            </w:r>
          </w:p>
        </w:tc>
        <w:tc>
          <w:tcPr>
            <w:tcW w:w="2175" w:type="dxa"/>
            <w:vAlign w:val="center"/>
          </w:tcPr>
          <w:p>
            <w:pPr>
              <w:pStyle w:val="26"/>
            </w:pPr>
            <w:r>
              <w:t>信息采集率</w:t>
            </w:r>
          </w:p>
        </w:tc>
        <w:tc>
          <w:tcPr>
            <w:tcW w:w="4179" w:type="dxa"/>
            <w:vAlign w:val="center"/>
          </w:tcPr>
          <w:p>
            <w:pPr>
              <w:pStyle w:val="26"/>
            </w:pPr>
            <w:r>
              <w:t>数字化城管平台信息实际采集数量与应采集数量比例</w:t>
            </w:r>
          </w:p>
        </w:tc>
        <w:tc>
          <w:tcPr>
            <w:tcW w:w="2551" w:type="dxa"/>
            <w:vAlign w:val="center"/>
          </w:tcPr>
          <w:p>
            <w:pPr>
              <w:pStyle w:val="26"/>
            </w:pPr>
            <w:r>
              <w:t>≥90%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质量指标</w:t>
            </w:r>
          </w:p>
        </w:tc>
        <w:tc>
          <w:tcPr>
            <w:tcW w:w="2175" w:type="dxa"/>
            <w:vAlign w:val="center"/>
          </w:tcPr>
          <w:p>
            <w:pPr>
              <w:pStyle w:val="26"/>
            </w:pPr>
            <w:r>
              <w:t>系统故障率</w:t>
            </w:r>
          </w:p>
        </w:tc>
        <w:tc>
          <w:tcPr>
            <w:tcW w:w="4179" w:type="dxa"/>
            <w:vAlign w:val="center"/>
          </w:tcPr>
          <w:p>
            <w:pPr>
              <w:pStyle w:val="26"/>
            </w:pPr>
            <w:r>
              <w:t>发生系统故障的设备与全体运行设备的比例</w:t>
            </w:r>
          </w:p>
        </w:tc>
        <w:tc>
          <w:tcPr>
            <w:tcW w:w="2551" w:type="dxa"/>
            <w:vAlign w:val="center"/>
          </w:tcPr>
          <w:p>
            <w:pPr>
              <w:pStyle w:val="26"/>
            </w:pPr>
            <w:r>
              <w:t>≤10%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时效指标</w:t>
            </w:r>
          </w:p>
        </w:tc>
        <w:tc>
          <w:tcPr>
            <w:tcW w:w="2175" w:type="dxa"/>
            <w:vAlign w:val="center"/>
          </w:tcPr>
          <w:p>
            <w:pPr>
              <w:pStyle w:val="26"/>
            </w:pPr>
            <w:r>
              <w:t>资金支付及时率</w:t>
            </w:r>
          </w:p>
        </w:tc>
        <w:tc>
          <w:tcPr>
            <w:tcW w:w="4179" w:type="dxa"/>
            <w:vAlign w:val="center"/>
          </w:tcPr>
          <w:p>
            <w:pPr>
              <w:pStyle w:val="26"/>
            </w:pPr>
            <w:r>
              <w:t>反映资金支付的及时性状况</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时效指标</w:t>
            </w:r>
          </w:p>
        </w:tc>
        <w:tc>
          <w:tcPr>
            <w:tcW w:w="2175" w:type="dxa"/>
            <w:vAlign w:val="center"/>
          </w:tcPr>
          <w:p>
            <w:pPr>
              <w:pStyle w:val="26"/>
            </w:pPr>
            <w:r>
              <w:t>信息采集及时率</w:t>
            </w:r>
          </w:p>
        </w:tc>
        <w:tc>
          <w:tcPr>
            <w:tcW w:w="4179" w:type="dxa"/>
            <w:vAlign w:val="center"/>
          </w:tcPr>
          <w:p>
            <w:pPr>
              <w:pStyle w:val="26"/>
            </w:pPr>
            <w:r>
              <w:t>反映数字化城管平台信息采集时间效率</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成本指标</w:t>
            </w:r>
          </w:p>
        </w:tc>
        <w:tc>
          <w:tcPr>
            <w:tcW w:w="2175" w:type="dxa"/>
            <w:vAlign w:val="center"/>
          </w:tcPr>
          <w:p>
            <w:pPr>
              <w:pStyle w:val="26"/>
            </w:pPr>
            <w:r>
              <w:t>成本控制率</w:t>
            </w:r>
          </w:p>
        </w:tc>
        <w:tc>
          <w:tcPr>
            <w:tcW w:w="4179"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1584" w:type="dxa"/>
            <w:vAlign w:val="center"/>
          </w:tcPr>
          <w:p>
            <w:pPr>
              <w:pStyle w:val="26"/>
            </w:pPr>
            <w:r>
              <w:t>社会效益指标</w:t>
            </w:r>
          </w:p>
        </w:tc>
        <w:tc>
          <w:tcPr>
            <w:tcW w:w="2175" w:type="dxa"/>
            <w:vAlign w:val="center"/>
          </w:tcPr>
          <w:p>
            <w:pPr>
              <w:pStyle w:val="26"/>
            </w:pPr>
            <w:r>
              <w:t>城市管理服务水平信息共享率</w:t>
            </w:r>
          </w:p>
        </w:tc>
        <w:tc>
          <w:tcPr>
            <w:tcW w:w="4179" w:type="dxa"/>
            <w:vAlign w:val="center"/>
          </w:tcPr>
          <w:p>
            <w:pPr>
              <w:pStyle w:val="26"/>
            </w:pPr>
            <w:r>
              <w:t>实现了对城市“科学、雅阁、精细、长效”的管理，反映信息共享情况</w:t>
            </w:r>
          </w:p>
        </w:tc>
        <w:tc>
          <w:tcPr>
            <w:tcW w:w="2551" w:type="dxa"/>
            <w:vAlign w:val="center"/>
          </w:tcPr>
          <w:p>
            <w:pPr>
              <w:pStyle w:val="26"/>
            </w:pPr>
            <w:r>
              <w:t>100%</w:t>
            </w:r>
          </w:p>
        </w:tc>
        <w:tc>
          <w:tcPr>
            <w:tcW w:w="2268" w:type="dxa"/>
            <w:vAlign w:val="center"/>
          </w:tcPr>
          <w:p>
            <w:pPr>
              <w:pStyle w:val="26"/>
            </w:pPr>
            <w:r>
              <w:t>年度工作计划</w:t>
            </w:r>
          </w:p>
        </w:tc>
      </w:tr>
    </w:tbl>
    <w:p>
      <w:pPr>
        <w:pStyle w:val="24"/>
      </w:pPr>
    </w:p>
    <w:p>
      <w:pPr>
        <w:pStyle w:val="24"/>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、执法局执法专项经费绩效目标表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1.保障劳务派遣人员工资及各项保险正常发放或缴纳</w:t>
            </w:r>
          </w:p>
          <w:p>
            <w:pPr>
              <w:pStyle w:val="26"/>
            </w:pPr>
            <w:r>
              <w:t>2.提高城市市容市貌管理和执法、提升城市形象</w:t>
            </w:r>
          </w:p>
          <w:p>
            <w:pPr>
              <w:pStyle w:val="26"/>
            </w:pPr>
            <w:r>
              <w:t>3.对17辆执法车辆进行装备配置</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84"/>
        <w:gridCol w:w="2160"/>
        <w:gridCol w:w="419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1584" w:type="dxa"/>
            <w:vAlign w:val="center"/>
          </w:tcPr>
          <w:p>
            <w:pPr>
              <w:pStyle w:val="25"/>
            </w:pPr>
            <w:r>
              <w:t>二级指标</w:t>
            </w:r>
          </w:p>
        </w:tc>
        <w:tc>
          <w:tcPr>
            <w:tcW w:w="2160" w:type="dxa"/>
            <w:vAlign w:val="center"/>
          </w:tcPr>
          <w:p>
            <w:pPr>
              <w:pStyle w:val="25"/>
            </w:pPr>
            <w:r>
              <w:t>三级指标</w:t>
            </w:r>
          </w:p>
        </w:tc>
        <w:tc>
          <w:tcPr>
            <w:tcW w:w="4194"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1584" w:type="dxa"/>
            <w:vAlign w:val="center"/>
          </w:tcPr>
          <w:p>
            <w:pPr>
              <w:pStyle w:val="26"/>
            </w:pPr>
            <w:r>
              <w:t>数量指标</w:t>
            </w:r>
          </w:p>
        </w:tc>
        <w:tc>
          <w:tcPr>
            <w:tcW w:w="2160" w:type="dxa"/>
            <w:vAlign w:val="center"/>
          </w:tcPr>
          <w:p>
            <w:pPr>
              <w:pStyle w:val="26"/>
            </w:pPr>
            <w:r>
              <w:t>劳务派遣人员保障数量</w:t>
            </w:r>
          </w:p>
        </w:tc>
        <w:tc>
          <w:tcPr>
            <w:tcW w:w="4194" w:type="dxa"/>
            <w:vAlign w:val="center"/>
          </w:tcPr>
          <w:p>
            <w:pPr>
              <w:pStyle w:val="26"/>
            </w:pPr>
            <w:r>
              <w:t>当年度劳务派遣人员数量</w:t>
            </w:r>
          </w:p>
        </w:tc>
        <w:tc>
          <w:tcPr>
            <w:tcW w:w="2551" w:type="dxa"/>
            <w:vAlign w:val="center"/>
          </w:tcPr>
          <w:p>
            <w:pPr>
              <w:pStyle w:val="26"/>
            </w:pPr>
            <w:r>
              <w:t>11人</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质量指标</w:t>
            </w:r>
          </w:p>
        </w:tc>
        <w:tc>
          <w:tcPr>
            <w:tcW w:w="2160" w:type="dxa"/>
            <w:vAlign w:val="center"/>
          </w:tcPr>
          <w:p>
            <w:pPr>
              <w:pStyle w:val="26"/>
            </w:pPr>
            <w:r>
              <w:t>采购合格率</w:t>
            </w:r>
          </w:p>
        </w:tc>
        <w:tc>
          <w:tcPr>
            <w:tcW w:w="4194" w:type="dxa"/>
            <w:vAlign w:val="center"/>
          </w:tcPr>
          <w:p>
            <w:pPr>
              <w:pStyle w:val="26"/>
            </w:pPr>
            <w:r>
              <w:t>验收合格的设备数量与总购置数量的比值</w:t>
            </w:r>
          </w:p>
        </w:tc>
        <w:tc>
          <w:tcPr>
            <w:tcW w:w="2551" w:type="dxa"/>
            <w:vAlign w:val="center"/>
          </w:tcPr>
          <w:p>
            <w:pPr>
              <w:pStyle w:val="26"/>
            </w:pPr>
            <w:r>
              <w:t>100%</w:t>
            </w:r>
          </w:p>
        </w:tc>
        <w:tc>
          <w:tcPr>
            <w:tcW w:w="2268" w:type="dxa"/>
            <w:vAlign w:val="center"/>
          </w:tcPr>
          <w:p>
            <w:pPr>
              <w:pStyle w:val="26"/>
            </w:pPr>
            <w:r>
              <w:t>验收报告、年度工作计划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时效指标</w:t>
            </w:r>
          </w:p>
        </w:tc>
        <w:tc>
          <w:tcPr>
            <w:tcW w:w="2160" w:type="dxa"/>
            <w:vAlign w:val="center"/>
          </w:tcPr>
          <w:p>
            <w:pPr>
              <w:pStyle w:val="26"/>
            </w:pPr>
            <w:r>
              <w:t>资金支付及时率</w:t>
            </w:r>
          </w:p>
        </w:tc>
        <w:tc>
          <w:tcPr>
            <w:tcW w:w="4194" w:type="dxa"/>
            <w:vAlign w:val="center"/>
          </w:tcPr>
          <w:p>
            <w:pPr>
              <w:pStyle w:val="26"/>
            </w:pPr>
            <w:r>
              <w:t>反映资金支付的及时性</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84" w:type="dxa"/>
            <w:vAlign w:val="center"/>
          </w:tcPr>
          <w:p>
            <w:pPr>
              <w:pStyle w:val="26"/>
            </w:pPr>
            <w:r>
              <w:t>成本指标</w:t>
            </w:r>
          </w:p>
        </w:tc>
        <w:tc>
          <w:tcPr>
            <w:tcW w:w="2160" w:type="dxa"/>
            <w:vAlign w:val="center"/>
          </w:tcPr>
          <w:p>
            <w:pPr>
              <w:pStyle w:val="26"/>
            </w:pPr>
            <w:r>
              <w:t>成本控制率</w:t>
            </w:r>
          </w:p>
        </w:tc>
        <w:tc>
          <w:tcPr>
            <w:tcW w:w="4194" w:type="dxa"/>
            <w:vAlign w:val="center"/>
          </w:tcPr>
          <w:p>
            <w:pPr>
              <w:pStyle w:val="26"/>
            </w:pPr>
            <w:r>
              <w:t>实际支出金额占预算金额的百分比</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1584" w:type="dxa"/>
            <w:vAlign w:val="center"/>
          </w:tcPr>
          <w:p>
            <w:pPr>
              <w:pStyle w:val="26"/>
            </w:pPr>
            <w:r>
              <w:t>社会效益指标</w:t>
            </w:r>
          </w:p>
        </w:tc>
        <w:tc>
          <w:tcPr>
            <w:tcW w:w="2160" w:type="dxa"/>
            <w:vAlign w:val="center"/>
          </w:tcPr>
          <w:p>
            <w:pPr>
              <w:pStyle w:val="26"/>
            </w:pPr>
            <w:r>
              <w:t>违规建设与经营问题解决率</w:t>
            </w:r>
          </w:p>
        </w:tc>
        <w:tc>
          <w:tcPr>
            <w:tcW w:w="4194" w:type="dxa"/>
            <w:vAlign w:val="center"/>
          </w:tcPr>
          <w:p>
            <w:pPr>
              <w:pStyle w:val="26"/>
            </w:pPr>
            <w:r>
              <w:t>反映发现的违建、店外经营等问题的整改情况</w:t>
            </w:r>
          </w:p>
        </w:tc>
        <w:tc>
          <w:tcPr>
            <w:tcW w:w="2551" w:type="dxa"/>
            <w:vAlign w:val="center"/>
          </w:tcPr>
          <w:p>
            <w:pPr>
              <w:pStyle w:val="26"/>
            </w:pPr>
            <w:r>
              <w:t>≥90%</w:t>
            </w:r>
          </w:p>
        </w:tc>
        <w:tc>
          <w:tcPr>
            <w:tcW w:w="2268" w:type="dxa"/>
            <w:vAlign w:val="center"/>
          </w:tcPr>
          <w:p>
            <w:pPr>
              <w:pStyle w:val="26"/>
            </w:pPr>
            <w:r>
              <w:t>年度工作计划</w:t>
            </w:r>
          </w:p>
        </w:tc>
      </w:tr>
    </w:tbl>
    <w:p>
      <w:pPr>
        <w:pStyle w:val="24"/>
      </w:pPr>
    </w:p>
    <w:p>
      <w:pPr>
        <w:pStyle w:val="24"/>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、颛顼公园水源井对接市政网管工程绩效目标表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1.保障颛顼公园水源井与市政管网对接工程正常开展</w:t>
            </w:r>
          </w:p>
          <w:p>
            <w:pPr>
              <w:pStyle w:val="26"/>
            </w:pPr>
            <w:r>
              <w:t>2.确保颛顼公园正常灌溉</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69"/>
        <w:gridCol w:w="2190"/>
        <w:gridCol w:w="4179"/>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1569" w:type="dxa"/>
            <w:vAlign w:val="center"/>
          </w:tcPr>
          <w:p>
            <w:pPr>
              <w:pStyle w:val="25"/>
            </w:pPr>
            <w:r>
              <w:t>二级指标</w:t>
            </w:r>
          </w:p>
        </w:tc>
        <w:tc>
          <w:tcPr>
            <w:tcW w:w="2190" w:type="dxa"/>
            <w:vAlign w:val="center"/>
          </w:tcPr>
          <w:p>
            <w:pPr>
              <w:pStyle w:val="25"/>
            </w:pPr>
            <w:r>
              <w:t>三级指标</w:t>
            </w:r>
          </w:p>
        </w:tc>
        <w:tc>
          <w:tcPr>
            <w:tcW w:w="4179"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1569" w:type="dxa"/>
            <w:vAlign w:val="center"/>
          </w:tcPr>
          <w:p>
            <w:pPr>
              <w:pStyle w:val="26"/>
            </w:pPr>
            <w:r>
              <w:t>数量指标</w:t>
            </w:r>
          </w:p>
        </w:tc>
        <w:tc>
          <w:tcPr>
            <w:tcW w:w="2190" w:type="dxa"/>
            <w:vAlign w:val="center"/>
          </w:tcPr>
          <w:p>
            <w:pPr>
              <w:pStyle w:val="26"/>
            </w:pPr>
            <w:r>
              <w:t>施工完成数量</w:t>
            </w:r>
          </w:p>
        </w:tc>
        <w:tc>
          <w:tcPr>
            <w:tcW w:w="4179" w:type="dxa"/>
            <w:vAlign w:val="center"/>
          </w:tcPr>
          <w:p>
            <w:pPr>
              <w:pStyle w:val="26"/>
            </w:pPr>
            <w:r>
              <w:t>颛顼公园灌溉系统与市政管网的对接管网系统数量</w:t>
            </w:r>
          </w:p>
        </w:tc>
        <w:tc>
          <w:tcPr>
            <w:tcW w:w="2551" w:type="dxa"/>
            <w:vAlign w:val="center"/>
          </w:tcPr>
          <w:p>
            <w:pPr>
              <w:pStyle w:val="26"/>
            </w:pPr>
            <w:r>
              <w:t>1条</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69" w:type="dxa"/>
            <w:vAlign w:val="center"/>
          </w:tcPr>
          <w:p>
            <w:pPr>
              <w:pStyle w:val="26"/>
            </w:pPr>
            <w:r>
              <w:t>质量指标</w:t>
            </w:r>
          </w:p>
        </w:tc>
        <w:tc>
          <w:tcPr>
            <w:tcW w:w="2190" w:type="dxa"/>
            <w:vAlign w:val="center"/>
          </w:tcPr>
          <w:p>
            <w:pPr>
              <w:pStyle w:val="26"/>
            </w:pPr>
            <w:r>
              <w:t>验收通过率</w:t>
            </w:r>
          </w:p>
        </w:tc>
        <w:tc>
          <w:tcPr>
            <w:tcW w:w="4179" w:type="dxa"/>
            <w:vAlign w:val="center"/>
          </w:tcPr>
          <w:p>
            <w:pPr>
              <w:pStyle w:val="26"/>
            </w:pPr>
            <w:r>
              <w:t>反映项目验收通过情况</w:t>
            </w:r>
          </w:p>
        </w:tc>
        <w:tc>
          <w:tcPr>
            <w:tcW w:w="2551" w:type="dxa"/>
            <w:vAlign w:val="center"/>
          </w:tcPr>
          <w:p>
            <w:pPr>
              <w:pStyle w:val="26"/>
            </w:pPr>
            <w:r>
              <w:t>100%</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69" w:type="dxa"/>
            <w:vAlign w:val="center"/>
          </w:tcPr>
          <w:p>
            <w:pPr>
              <w:pStyle w:val="26"/>
            </w:pPr>
            <w:r>
              <w:t>时效指标</w:t>
            </w:r>
          </w:p>
        </w:tc>
        <w:tc>
          <w:tcPr>
            <w:tcW w:w="2190" w:type="dxa"/>
            <w:vAlign w:val="center"/>
          </w:tcPr>
          <w:p>
            <w:pPr>
              <w:pStyle w:val="26"/>
            </w:pPr>
            <w:r>
              <w:t xml:space="preserve"> 建设期限</w:t>
            </w:r>
          </w:p>
        </w:tc>
        <w:tc>
          <w:tcPr>
            <w:tcW w:w="4179" w:type="dxa"/>
            <w:vAlign w:val="center"/>
          </w:tcPr>
          <w:p>
            <w:pPr>
              <w:pStyle w:val="26"/>
            </w:pPr>
            <w:r>
              <w:t>合同约定开工至完工所经历的时间</w:t>
            </w:r>
          </w:p>
        </w:tc>
        <w:tc>
          <w:tcPr>
            <w:tcW w:w="2551" w:type="dxa"/>
            <w:vAlign w:val="center"/>
          </w:tcPr>
          <w:p>
            <w:pPr>
              <w:pStyle w:val="26"/>
            </w:pPr>
            <w:r>
              <w:t>≤20天</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69" w:type="dxa"/>
            <w:vAlign w:val="center"/>
          </w:tcPr>
          <w:p>
            <w:pPr>
              <w:pStyle w:val="26"/>
            </w:pPr>
            <w:r>
              <w:t>成本指标</w:t>
            </w:r>
          </w:p>
        </w:tc>
        <w:tc>
          <w:tcPr>
            <w:tcW w:w="2190" w:type="dxa"/>
            <w:vAlign w:val="center"/>
          </w:tcPr>
          <w:p>
            <w:pPr>
              <w:pStyle w:val="26"/>
            </w:pPr>
            <w:r>
              <w:t>工程单价预算成本</w:t>
            </w:r>
          </w:p>
        </w:tc>
        <w:tc>
          <w:tcPr>
            <w:tcW w:w="4179" w:type="dxa"/>
            <w:vAlign w:val="center"/>
          </w:tcPr>
          <w:p>
            <w:pPr>
              <w:pStyle w:val="26"/>
            </w:pPr>
            <w:r>
              <w:t>工程单价控制情况</w:t>
            </w:r>
          </w:p>
        </w:tc>
        <w:tc>
          <w:tcPr>
            <w:tcW w:w="2551" w:type="dxa"/>
            <w:vAlign w:val="center"/>
          </w:tcPr>
          <w:p>
            <w:pPr>
              <w:pStyle w:val="26"/>
            </w:pPr>
            <w:r>
              <w:t>≤15.92万元</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1569" w:type="dxa"/>
            <w:vAlign w:val="center"/>
          </w:tcPr>
          <w:p>
            <w:pPr>
              <w:pStyle w:val="26"/>
            </w:pPr>
            <w:r>
              <w:t>成本指标</w:t>
            </w:r>
          </w:p>
        </w:tc>
        <w:tc>
          <w:tcPr>
            <w:tcW w:w="2190" w:type="dxa"/>
            <w:vAlign w:val="center"/>
          </w:tcPr>
          <w:p>
            <w:pPr>
              <w:pStyle w:val="26"/>
            </w:pPr>
            <w:r>
              <w:t>成本控制率</w:t>
            </w:r>
          </w:p>
        </w:tc>
        <w:tc>
          <w:tcPr>
            <w:tcW w:w="4179" w:type="dxa"/>
            <w:vAlign w:val="center"/>
          </w:tcPr>
          <w:p>
            <w:pPr>
              <w:pStyle w:val="26"/>
            </w:pPr>
            <w:r>
              <w:t>实际支出金额占预算金额的比例</w:t>
            </w:r>
          </w:p>
        </w:tc>
        <w:tc>
          <w:tcPr>
            <w:tcW w:w="2551" w:type="dxa"/>
            <w:vAlign w:val="center"/>
          </w:tcPr>
          <w:p>
            <w:pPr>
              <w:pStyle w:val="26"/>
            </w:pPr>
            <w:r>
              <w:t>≤100%</w:t>
            </w:r>
          </w:p>
        </w:tc>
        <w:tc>
          <w:tcPr>
            <w:tcW w:w="2268" w:type="dxa"/>
            <w:vAlign w:val="center"/>
          </w:tcPr>
          <w:p>
            <w:pPr>
              <w:pStyle w:val="2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1569" w:type="dxa"/>
            <w:vAlign w:val="center"/>
          </w:tcPr>
          <w:p>
            <w:pPr>
              <w:pStyle w:val="26"/>
            </w:pPr>
            <w:r>
              <w:t>可持续影响指标</w:t>
            </w:r>
          </w:p>
        </w:tc>
        <w:tc>
          <w:tcPr>
            <w:tcW w:w="2190" w:type="dxa"/>
            <w:vAlign w:val="center"/>
          </w:tcPr>
          <w:p>
            <w:pPr>
              <w:pStyle w:val="26"/>
            </w:pPr>
            <w:r>
              <w:t>正常灌溉持续性</w:t>
            </w:r>
          </w:p>
        </w:tc>
        <w:tc>
          <w:tcPr>
            <w:tcW w:w="4179" w:type="dxa"/>
            <w:vAlign w:val="center"/>
          </w:tcPr>
          <w:p>
            <w:pPr>
              <w:pStyle w:val="26"/>
            </w:pPr>
            <w:r>
              <w:t>反映项目实施对园区影响程度，灌溉工作的持续程度</w:t>
            </w:r>
          </w:p>
        </w:tc>
        <w:tc>
          <w:tcPr>
            <w:tcW w:w="2551" w:type="dxa"/>
            <w:vAlign w:val="center"/>
          </w:tcPr>
          <w:p>
            <w:pPr>
              <w:pStyle w:val="26"/>
            </w:pPr>
            <w:r>
              <w:t>100%</w:t>
            </w:r>
          </w:p>
        </w:tc>
        <w:tc>
          <w:tcPr>
            <w:tcW w:w="2268" w:type="dxa"/>
            <w:vAlign w:val="center"/>
          </w:tcPr>
          <w:p>
            <w:pPr>
              <w:pStyle w:val="26"/>
            </w:pPr>
            <w:r>
              <w:t>年度工作计划</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2"/>
      </w:pPr>
      <w:bookmarkStart w:id="13" w:name="_Toc_3_3_0000000015"/>
      <w:r>
        <w:rPr>
          <w:rFonts w:ascii="黑体" w:hAnsi="黑体" w:eastAsia="黑体" w:cs="黑体"/>
          <w:color w:val="000000"/>
          <w:sz w:val="32"/>
        </w:rPr>
        <w:t>六、政府采购预算情况</w:t>
      </w:r>
      <w:bookmarkEnd w:id="13"/>
    </w:p>
    <w:p>
      <w:pPr>
        <w:spacing w:line="500" w:lineRule="exact"/>
        <w:ind w:firstLine="560"/>
      </w:pPr>
      <w:r>
        <w:rPr>
          <w:rFonts w:eastAsia="方正仿宋_GBK"/>
          <w:color w:val="000000"/>
          <w:sz w:val="28"/>
        </w:rPr>
        <w:t>2022年，高阳县城市管理综合行政执法局安排政府采购预算6500.00万元。具体内容见下表。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3"/>
        <w:gridCol w:w="960"/>
        <w:gridCol w:w="1530"/>
        <w:gridCol w:w="1005"/>
        <w:gridCol w:w="1035"/>
        <w:gridCol w:w="465"/>
        <w:gridCol w:w="960"/>
        <w:gridCol w:w="1005"/>
        <w:gridCol w:w="1065"/>
        <w:gridCol w:w="975"/>
        <w:gridCol w:w="750"/>
        <w:gridCol w:w="855"/>
        <w:gridCol w:w="645"/>
        <w:gridCol w:w="675"/>
        <w:gridCol w:w="736"/>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348" w:type="dxa"/>
            <w:gridSpan w:val="7"/>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7670"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353" w:type="dxa"/>
            <w:gridSpan w:val="2"/>
            <w:vAlign w:val="center"/>
          </w:tcPr>
          <w:p>
            <w:pPr>
              <w:pStyle w:val="10"/>
            </w:pPr>
            <w:r>
              <w:t>政府采购项目来源</w:t>
            </w:r>
          </w:p>
        </w:tc>
        <w:tc>
          <w:tcPr>
            <w:tcW w:w="1530" w:type="dxa"/>
            <w:vMerge w:val="restart"/>
            <w:vAlign w:val="center"/>
          </w:tcPr>
          <w:p>
            <w:pPr>
              <w:pStyle w:val="10"/>
            </w:pPr>
            <w:r>
              <w:t>采购物品名称</w:t>
            </w:r>
          </w:p>
        </w:tc>
        <w:tc>
          <w:tcPr>
            <w:tcW w:w="1005" w:type="dxa"/>
            <w:vMerge w:val="restart"/>
            <w:vAlign w:val="center"/>
          </w:tcPr>
          <w:p>
            <w:pPr>
              <w:pStyle w:val="10"/>
            </w:pPr>
            <w:r>
              <w:t>政府采购目录序号</w:t>
            </w:r>
          </w:p>
        </w:tc>
        <w:tc>
          <w:tcPr>
            <w:tcW w:w="1035" w:type="dxa"/>
            <w:vMerge w:val="restart"/>
            <w:vAlign w:val="center"/>
          </w:tcPr>
          <w:p>
            <w:pPr>
              <w:pStyle w:val="10"/>
            </w:pPr>
            <w:r>
              <w:t>计量  单位</w:t>
            </w:r>
          </w:p>
        </w:tc>
        <w:tc>
          <w:tcPr>
            <w:tcW w:w="465" w:type="dxa"/>
            <w:vMerge w:val="restart"/>
            <w:vAlign w:val="center"/>
          </w:tcPr>
          <w:p>
            <w:pPr>
              <w:pStyle w:val="10"/>
            </w:pPr>
            <w:r>
              <w:t>数量</w:t>
            </w:r>
          </w:p>
        </w:tc>
        <w:tc>
          <w:tcPr>
            <w:tcW w:w="960" w:type="dxa"/>
            <w:vMerge w:val="restart"/>
            <w:vAlign w:val="center"/>
          </w:tcPr>
          <w:p>
            <w:pPr>
              <w:pStyle w:val="10"/>
            </w:pPr>
            <w:r>
              <w:t>单价</w:t>
            </w:r>
          </w:p>
        </w:tc>
        <w:tc>
          <w:tcPr>
            <w:tcW w:w="6706"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 w:hRule="atLeast"/>
          <w:tblHeader/>
          <w:jc w:val="center"/>
        </w:trPr>
        <w:tc>
          <w:tcPr>
            <w:tcW w:w="2393" w:type="dxa"/>
            <w:vAlign w:val="center"/>
          </w:tcPr>
          <w:p>
            <w:pPr>
              <w:pStyle w:val="10"/>
            </w:pPr>
            <w:r>
              <w:t>项目名称</w:t>
            </w:r>
          </w:p>
        </w:tc>
        <w:tc>
          <w:tcPr>
            <w:tcW w:w="960" w:type="dxa"/>
            <w:vAlign w:val="center"/>
          </w:tcPr>
          <w:p>
            <w:pPr>
              <w:pStyle w:val="10"/>
            </w:pPr>
            <w:r>
              <w:t>预算    资金</w:t>
            </w:r>
          </w:p>
        </w:tc>
        <w:tc>
          <w:tcPr>
            <w:tcW w:w="1530" w:type="dxa"/>
            <w:vMerge w:val="continue"/>
          </w:tcPr>
          <w:p/>
        </w:tc>
        <w:tc>
          <w:tcPr>
            <w:tcW w:w="1005" w:type="dxa"/>
            <w:vMerge w:val="continue"/>
          </w:tcPr>
          <w:p/>
        </w:tc>
        <w:tc>
          <w:tcPr>
            <w:tcW w:w="1035" w:type="dxa"/>
            <w:vMerge w:val="continue"/>
          </w:tcPr>
          <w:p/>
        </w:tc>
        <w:tc>
          <w:tcPr>
            <w:tcW w:w="465" w:type="dxa"/>
            <w:vMerge w:val="continue"/>
          </w:tcPr>
          <w:p/>
        </w:tc>
        <w:tc>
          <w:tcPr>
            <w:tcW w:w="960" w:type="dxa"/>
            <w:vMerge w:val="continue"/>
          </w:tcPr>
          <w:p/>
        </w:tc>
        <w:tc>
          <w:tcPr>
            <w:tcW w:w="1005" w:type="dxa"/>
            <w:vAlign w:val="center"/>
          </w:tcPr>
          <w:p>
            <w:pPr>
              <w:pStyle w:val="10"/>
            </w:pPr>
            <w:r>
              <w:t>合计</w:t>
            </w:r>
          </w:p>
        </w:tc>
        <w:tc>
          <w:tcPr>
            <w:tcW w:w="1065" w:type="dxa"/>
            <w:vAlign w:val="center"/>
          </w:tcPr>
          <w:p>
            <w:pPr>
              <w:pStyle w:val="10"/>
            </w:pPr>
            <w:r>
              <w:t>一般公共预算拨款</w:t>
            </w:r>
          </w:p>
        </w:tc>
        <w:tc>
          <w:tcPr>
            <w:tcW w:w="975" w:type="dxa"/>
            <w:vAlign w:val="center"/>
          </w:tcPr>
          <w:p>
            <w:pPr>
              <w:pStyle w:val="10"/>
            </w:pPr>
            <w:r>
              <w:t>基金预算拨款</w:t>
            </w:r>
          </w:p>
        </w:tc>
        <w:tc>
          <w:tcPr>
            <w:tcW w:w="750" w:type="dxa"/>
            <w:vAlign w:val="center"/>
          </w:tcPr>
          <w:p>
            <w:pPr>
              <w:pStyle w:val="10"/>
            </w:pPr>
            <w:r>
              <w:t>国有资本经营预算拨款</w:t>
            </w:r>
          </w:p>
        </w:tc>
        <w:tc>
          <w:tcPr>
            <w:tcW w:w="855" w:type="dxa"/>
            <w:vAlign w:val="center"/>
          </w:tcPr>
          <w:p>
            <w:pPr>
              <w:pStyle w:val="10"/>
            </w:pPr>
            <w:r>
              <w:t>财政专户核拨</w:t>
            </w:r>
          </w:p>
        </w:tc>
        <w:tc>
          <w:tcPr>
            <w:tcW w:w="645" w:type="dxa"/>
            <w:vAlign w:val="center"/>
          </w:tcPr>
          <w:p>
            <w:pPr>
              <w:pStyle w:val="10"/>
            </w:pPr>
            <w:r>
              <w:t>单位    资金</w:t>
            </w:r>
          </w:p>
        </w:tc>
        <w:tc>
          <w:tcPr>
            <w:tcW w:w="675" w:type="dxa"/>
            <w:vAlign w:val="center"/>
          </w:tcPr>
          <w:p>
            <w:pPr>
              <w:pStyle w:val="10"/>
            </w:pPr>
            <w:r>
              <w:t>财政拨    款结转</w:t>
            </w:r>
          </w:p>
        </w:tc>
        <w:tc>
          <w:tcPr>
            <w:tcW w:w="736"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93" w:type="dxa"/>
            <w:vAlign w:val="center"/>
          </w:tcPr>
          <w:p>
            <w:pPr>
              <w:pStyle w:val="14"/>
            </w:pPr>
            <w:r>
              <w:t>合  计</w:t>
            </w:r>
          </w:p>
        </w:tc>
        <w:tc>
          <w:tcPr>
            <w:tcW w:w="960" w:type="dxa"/>
            <w:vAlign w:val="center"/>
          </w:tcPr>
          <w:p>
            <w:pPr>
              <w:pStyle w:val="15"/>
            </w:pPr>
          </w:p>
        </w:tc>
        <w:tc>
          <w:tcPr>
            <w:tcW w:w="1530" w:type="dxa"/>
            <w:vAlign w:val="center"/>
          </w:tcPr>
          <w:p>
            <w:pPr>
              <w:pStyle w:val="16"/>
            </w:pPr>
          </w:p>
        </w:tc>
        <w:tc>
          <w:tcPr>
            <w:tcW w:w="1005" w:type="dxa"/>
            <w:vAlign w:val="center"/>
          </w:tcPr>
          <w:p>
            <w:pPr>
              <w:pStyle w:val="16"/>
            </w:pPr>
          </w:p>
        </w:tc>
        <w:tc>
          <w:tcPr>
            <w:tcW w:w="1035" w:type="dxa"/>
            <w:vAlign w:val="center"/>
          </w:tcPr>
          <w:p>
            <w:pPr>
              <w:pStyle w:val="14"/>
            </w:pPr>
          </w:p>
        </w:tc>
        <w:tc>
          <w:tcPr>
            <w:tcW w:w="465" w:type="dxa"/>
            <w:vAlign w:val="center"/>
          </w:tcPr>
          <w:p>
            <w:pPr>
              <w:pStyle w:val="15"/>
            </w:pPr>
          </w:p>
        </w:tc>
        <w:tc>
          <w:tcPr>
            <w:tcW w:w="960" w:type="dxa"/>
            <w:vAlign w:val="center"/>
          </w:tcPr>
          <w:p>
            <w:pPr>
              <w:pStyle w:val="15"/>
            </w:pPr>
          </w:p>
        </w:tc>
        <w:tc>
          <w:tcPr>
            <w:tcW w:w="1005" w:type="dxa"/>
            <w:vAlign w:val="center"/>
          </w:tcPr>
          <w:p>
            <w:pPr>
              <w:pStyle w:val="15"/>
            </w:pPr>
            <w:r>
              <w:t>6500.00</w:t>
            </w:r>
          </w:p>
        </w:tc>
        <w:tc>
          <w:tcPr>
            <w:tcW w:w="1065" w:type="dxa"/>
            <w:vAlign w:val="center"/>
          </w:tcPr>
          <w:p>
            <w:pPr>
              <w:pStyle w:val="15"/>
            </w:pPr>
            <w:r>
              <w:t>1300.00</w:t>
            </w:r>
          </w:p>
        </w:tc>
        <w:tc>
          <w:tcPr>
            <w:tcW w:w="975" w:type="dxa"/>
            <w:vAlign w:val="center"/>
          </w:tcPr>
          <w:p>
            <w:pPr>
              <w:pStyle w:val="15"/>
            </w:pPr>
            <w:r>
              <w:t>5200.00</w:t>
            </w:r>
          </w:p>
        </w:tc>
        <w:tc>
          <w:tcPr>
            <w:tcW w:w="750" w:type="dxa"/>
            <w:vAlign w:val="center"/>
          </w:tcPr>
          <w:p>
            <w:pPr>
              <w:pStyle w:val="15"/>
            </w:pPr>
          </w:p>
        </w:tc>
        <w:tc>
          <w:tcPr>
            <w:tcW w:w="855" w:type="dxa"/>
            <w:vAlign w:val="center"/>
          </w:tcPr>
          <w:p>
            <w:pPr>
              <w:pStyle w:val="15"/>
            </w:pPr>
          </w:p>
        </w:tc>
        <w:tc>
          <w:tcPr>
            <w:tcW w:w="645" w:type="dxa"/>
            <w:vAlign w:val="center"/>
          </w:tcPr>
          <w:p>
            <w:pPr>
              <w:pStyle w:val="15"/>
            </w:pPr>
          </w:p>
        </w:tc>
        <w:tc>
          <w:tcPr>
            <w:tcW w:w="675" w:type="dxa"/>
            <w:vAlign w:val="center"/>
          </w:tcPr>
          <w:p>
            <w:pPr>
              <w:pStyle w:val="15"/>
            </w:pPr>
          </w:p>
        </w:tc>
        <w:tc>
          <w:tcPr>
            <w:tcW w:w="736" w:type="dxa"/>
            <w:vAlign w:val="center"/>
          </w:tcPr>
          <w:p>
            <w:pPr>
              <w:pStyle w:val="15"/>
            </w:pPr>
          </w:p>
        </w:tc>
        <w:tc>
          <w:tcPr>
            <w:tcW w:w="964" w:type="dxa"/>
            <w:vAlign w:val="center"/>
          </w:tcPr>
          <w:p>
            <w:pPr>
              <w:pStyle w:val="15"/>
            </w:pPr>
            <w:r>
              <w:t>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93" w:type="dxa"/>
            <w:vAlign w:val="center"/>
          </w:tcPr>
          <w:p>
            <w:pPr>
              <w:pStyle w:val="14"/>
            </w:pPr>
            <w:r>
              <w:t>高阳县城市管理综合行政执法局（行政）小计</w:t>
            </w:r>
          </w:p>
        </w:tc>
        <w:tc>
          <w:tcPr>
            <w:tcW w:w="960" w:type="dxa"/>
            <w:vAlign w:val="center"/>
          </w:tcPr>
          <w:p>
            <w:pPr>
              <w:pStyle w:val="15"/>
            </w:pPr>
          </w:p>
        </w:tc>
        <w:tc>
          <w:tcPr>
            <w:tcW w:w="1530" w:type="dxa"/>
            <w:vAlign w:val="center"/>
          </w:tcPr>
          <w:p>
            <w:pPr>
              <w:pStyle w:val="16"/>
            </w:pPr>
          </w:p>
        </w:tc>
        <w:tc>
          <w:tcPr>
            <w:tcW w:w="1005" w:type="dxa"/>
            <w:vAlign w:val="center"/>
          </w:tcPr>
          <w:p>
            <w:pPr>
              <w:pStyle w:val="16"/>
            </w:pPr>
          </w:p>
        </w:tc>
        <w:tc>
          <w:tcPr>
            <w:tcW w:w="1035" w:type="dxa"/>
            <w:vAlign w:val="center"/>
          </w:tcPr>
          <w:p>
            <w:pPr>
              <w:pStyle w:val="14"/>
            </w:pPr>
          </w:p>
        </w:tc>
        <w:tc>
          <w:tcPr>
            <w:tcW w:w="465" w:type="dxa"/>
            <w:vAlign w:val="center"/>
          </w:tcPr>
          <w:p>
            <w:pPr>
              <w:pStyle w:val="15"/>
            </w:pPr>
          </w:p>
        </w:tc>
        <w:tc>
          <w:tcPr>
            <w:tcW w:w="960" w:type="dxa"/>
            <w:vAlign w:val="center"/>
          </w:tcPr>
          <w:p>
            <w:pPr>
              <w:pStyle w:val="15"/>
            </w:pPr>
          </w:p>
        </w:tc>
        <w:tc>
          <w:tcPr>
            <w:tcW w:w="1005" w:type="dxa"/>
            <w:vAlign w:val="center"/>
          </w:tcPr>
          <w:p>
            <w:pPr>
              <w:pStyle w:val="15"/>
            </w:pPr>
            <w:r>
              <w:t>6500.00</w:t>
            </w:r>
          </w:p>
        </w:tc>
        <w:tc>
          <w:tcPr>
            <w:tcW w:w="1065" w:type="dxa"/>
            <w:vAlign w:val="center"/>
          </w:tcPr>
          <w:p>
            <w:pPr>
              <w:pStyle w:val="15"/>
            </w:pPr>
            <w:r>
              <w:t>1300.00</w:t>
            </w:r>
          </w:p>
        </w:tc>
        <w:tc>
          <w:tcPr>
            <w:tcW w:w="975" w:type="dxa"/>
            <w:vAlign w:val="center"/>
          </w:tcPr>
          <w:p>
            <w:pPr>
              <w:pStyle w:val="15"/>
            </w:pPr>
            <w:r>
              <w:t>5200.00</w:t>
            </w:r>
          </w:p>
        </w:tc>
        <w:tc>
          <w:tcPr>
            <w:tcW w:w="750" w:type="dxa"/>
            <w:vAlign w:val="center"/>
          </w:tcPr>
          <w:p>
            <w:pPr>
              <w:pStyle w:val="15"/>
            </w:pPr>
          </w:p>
        </w:tc>
        <w:tc>
          <w:tcPr>
            <w:tcW w:w="855" w:type="dxa"/>
            <w:vAlign w:val="center"/>
          </w:tcPr>
          <w:p>
            <w:pPr>
              <w:pStyle w:val="15"/>
            </w:pPr>
          </w:p>
        </w:tc>
        <w:tc>
          <w:tcPr>
            <w:tcW w:w="645" w:type="dxa"/>
            <w:vAlign w:val="center"/>
          </w:tcPr>
          <w:p>
            <w:pPr>
              <w:pStyle w:val="15"/>
            </w:pPr>
          </w:p>
        </w:tc>
        <w:tc>
          <w:tcPr>
            <w:tcW w:w="675" w:type="dxa"/>
            <w:vAlign w:val="center"/>
          </w:tcPr>
          <w:p>
            <w:pPr>
              <w:pStyle w:val="15"/>
            </w:pPr>
          </w:p>
        </w:tc>
        <w:tc>
          <w:tcPr>
            <w:tcW w:w="736" w:type="dxa"/>
            <w:vAlign w:val="center"/>
          </w:tcPr>
          <w:p>
            <w:pPr>
              <w:pStyle w:val="15"/>
            </w:pPr>
          </w:p>
        </w:tc>
        <w:tc>
          <w:tcPr>
            <w:tcW w:w="964" w:type="dxa"/>
            <w:vAlign w:val="center"/>
          </w:tcPr>
          <w:p>
            <w:pPr>
              <w:pStyle w:val="15"/>
            </w:pPr>
            <w:r>
              <w:t>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jc w:val="center"/>
        </w:trPr>
        <w:tc>
          <w:tcPr>
            <w:tcW w:w="2393" w:type="dxa"/>
            <w:vAlign w:val="center"/>
          </w:tcPr>
          <w:p>
            <w:pPr>
              <w:pStyle w:val="12"/>
            </w:pPr>
            <w:r>
              <w:t>高阳县垃圾运输处理费</w:t>
            </w:r>
          </w:p>
        </w:tc>
        <w:tc>
          <w:tcPr>
            <w:tcW w:w="960" w:type="dxa"/>
            <w:vAlign w:val="center"/>
          </w:tcPr>
          <w:p>
            <w:pPr>
              <w:pStyle w:val="13"/>
            </w:pPr>
            <w:r>
              <w:t>1300.00</w:t>
            </w:r>
          </w:p>
        </w:tc>
        <w:tc>
          <w:tcPr>
            <w:tcW w:w="1530" w:type="dxa"/>
            <w:vAlign w:val="center"/>
          </w:tcPr>
          <w:p>
            <w:pPr>
              <w:pStyle w:val="12"/>
            </w:pPr>
            <w:r>
              <w:t>垃圾处理服务</w:t>
            </w:r>
          </w:p>
        </w:tc>
        <w:tc>
          <w:tcPr>
            <w:tcW w:w="1005" w:type="dxa"/>
            <w:vAlign w:val="center"/>
          </w:tcPr>
          <w:p>
            <w:pPr>
              <w:pStyle w:val="12"/>
            </w:pPr>
            <w:r>
              <w:t>C160102</w:t>
            </w:r>
          </w:p>
        </w:tc>
        <w:tc>
          <w:tcPr>
            <w:tcW w:w="1035" w:type="dxa"/>
            <w:vAlign w:val="center"/>
          </w:tcPr>
          <w:p>
            <w:pPr>
              <w:pStyle w:val="11"/>
            </w:pPr>
            <w:r>
              <w:t>万元/年</w:t>
            </w:r>
          </w:p>
        </w:tc>
        <w:tc>
          <w:tcPr>
            <w:tcW w:w="465" w:type="dxa"/>
            <w:vAlign w:val="center"/>
          </w:tcPr>
          <w:p>
            <w:pPr>
              <w:pStyle w:val="13"/>
            </w:pPr>
            <w:r>
              <w:t>1</w:t>
            </w:r>
          </w:p>
        </w:tc>
        <w:tc>
          <w:tcPr>
            <w:tcW w:w="960" w:type="dxa"/>
            <w:vAlign w:val="center"/>
          </w:tcPr>
          <w:p>
            <w:pPr>
              <w:pStyle w:val="13"/>
            </w:pPr>
            <w:r>
              <w:t>1300.00</w:t>
            </w:r>
          </w:p>
        </w:tc>
        <w:tc>
          <w:tcPr>
            <w:tcW w:w="1005" w:type="dxa"/>
            <w:vAlign w:val="center"/>
          </w:tcPr>
          <w:p>
            <w:pPr>
              <w:pStyle w:val="13"/>
            </w:pPr>
            <w:r>
              <w:t>1300.00</w:t>
            </w:r>
          </w:p>
        </w:tc>
        <w:tc>
          <w:tcPr>
            <w:tcW w:w="1065" w:type="dxa"/>
            <w:vAlign w:val="center"/>
          </w:tcPr>
          <w:p>
            <w:pPr>
              <w:pStyle w:val="13"/>
            </w:pPr>
            <w:r>
              <w:t>1300.00</w:t>
            </w:r>
          </w:p>
        </w:tc>
        <w:tc>
          <w:tcPr>
            <w:tcW w:w="975" w:type="dxa"/>
            <w:vAlign w:val="center"/>
          </w:tcPr>
          <w:p>
            <w:pPr>
              <w:pStyle w:val="13"/>
            </w:pPr>
          </w:p>
        </w:tc>
        <w:tc>
          <w:tcPr>
            <w:tcW w:w="750" w:type="dxa"/>
            <w:vAlign w:val="center"/>
          </w:tcPr>
          <w:p>
            <w:pPr>
              <w:pStyle w:val="13"/>
            </w:pPr>
          </w:p>
        </w:tc>
        <w:tc>
          <w:tcPr>
            <w:tcW w:w="855" w:type="dxa"/>
            <w:vAlign w:val="center"/>
          </w:tcPr>
          <w:p>
            <w:pPr>
              <w:pStyle w:val="13"/>
            </w:pPr>
          </w:p>
        </w:tc>
        <w:tc>
          <w:tcPr>
            <w:tcW w:w="645" w:type="dxa"/>
            <w:vAlign w:val="center"/>
          </w:tcPr>
          <w:p>
            <w:pPr>
              <w:pStyle w:val="13"/>
            </w:pPr>
          </w:p>
        </w:tc>
        <w:tc>
          <w:tcPr>
            <w:tcW w:w="675" w:type="dxa"/>
            <w:vAlign w:val="center"/>
          </w:tcPr>
          <w:p>
            <w:pPr>
              <w:pStyle w:val="13"/>
            </w:pPr>
          </w:p>
        </w:tc>
        <w:tc>
          <w:tcPr>
            <w:tcW w:w="736" w:type="dxa"/>
            <w:vAlign w:val="center"/>
          </w:tcPr>
          <w:p>
            <w:pPr>
              <w:pStyle w:val="13"/>
            </w:pPr>
          </w:p>
        </w:tc>
        <w:tc>
          <w:tcPr>
            <w:tcW w:w="964" w:type="dxa"/>
            <w:vAlign w:val="center"/>
          </w:tcPr>
          <w:p>
            <w:pPr>
              <w:pStyle w:val="13"/>
            </w:pPr>
            <w:r>
              <w:t>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2393" w:type="dxa"/>
            <w:vAlign w:val="center"/>
          </w:tcPr>
          <w:p>
            <w:pPr>
              <w:pStyle w:val="12"/>
            </w:pPr>
            <w:r>
              <w:t>执法局城区环卫作业市场化经费</w:t>
            </w:r>
          </w:p>
        </w:tc>
        <w:tc>
          <w:tcPr>
            <w:tcW w:w="960" w:type="dxa"/>
            <w:vAlign w:val="center"/>
          </w:tcPr>
          <w:p>
            <w:pPr>
              <w:pStyle w:val="13"/>
            </w:pPr>
            <w:r>
              <w:t>3400.00</w:t>
            </w:r>
          </w:p>
        </w:tc>
        <w:tc>
          <w:tcPr>
            <w:tcW w:w="1530" w:type="dxa"/>
            <w:vAlign w:val="center"/>
          </w:tcPr>
          <w:p>
            <w:pPr>
              <w:pStyle w:val="12"/>
            </w:pPr>
            <w:r>
              <w:t>清扫服务</w:t>
            </w:r>
          </w:p>
        </w:tc>
        <w:tc>
          <w:tcPr>
            <w:tcW w:w="1005" w:type="dxa"/>
            <w:vAlign w:val="center"/>
          </w:tcPr>
          <w:p>
            <w:pPr>
              <w:pStyle w:val="12"/>
            </w:pPr>
            <w:r>
              <w:t>C160101</w:t>
            </w:r>
          </w:p>
        </w:tc>
        <w:tc>
          <w:tcPr>
            <w:tcW w:w="1035" w:type="dxa"/>
            <w:vAlign w:val="center"/>
          </w:tcPr>
          <w:p>
            <w:pPr>
              <w:pStyle w:val="11"/>
            </w:pPr>
            <w:r>
              <w:t>万元/年</w:t>
            </w:r>
          </w:p>
        </w:tc>
        <w:tc>
          <w:tcPr>
            <w:tcW w:w="465" w:type="dxa"/>
            <w:vAlign w:val="center"/>
          </w:tcPr>
          <w:p>
            <w:pPr>
              <w:pStyle w:val="13"/>
            </w:pPr>
            <w:r>
              <w:t>1</w:t>
            </w:r>
          </w:p>
        </w:tc>
        <w:tc>
          <w:tcPr>
            <w:tcW w:w="960" w:type="dxa"/>
            <w:vAlign w:val="center"/>
          </w:tcPr>
          <w:p>
            <w:pPr>
              <w:pStyle w:val="13"/>
            </w:pPr>
            <w:r>
              <w:t>3400.00</w:t>
            </w:r>
          </w:p>
        </w:tc>
        <w:tc>
          <w:tcPr>
            <w:tcW w:w="1005" w:type="dxa"/>
            <w:vAlign w:val="center"/>
          </w:tcPr>
          <w:p>
            <w:pPr>
              <w:pStyle w:val="13"/>
            </w:pPr>
            <w:r>
              <w:t>3400.00</w:t>
            </w:r>
          </w:p>
        </w:tc>
        <w:tc>
          <w:tcPr>
            <w:tcW w:w="1065" w:type="dxa"/>
            <w:vAlign w:val="center"/>
          </w:tcPr>
          <w:p>
            <w:pPr>
              <w:pStyle w:val="13"/>
            </w:pPr>
          </w:p>
        </w:tc>
        <w:tc>
          <w:tcPr>
            <w:tcW w:w="975" w:type="dxa"/>
            <w:vAlign w:val="center"/>
          </w:tcPr>
          <w:p>
            <w:pPr>
              <w:pStyle w:val="13"/>
            </w:pPr>
            <w:r>
              <w:t>3400.00</w:t>
            </w:r>
          </w:p>
        </w:tc>
        <w:tc>
          <w:tcPr>
            <w:tcW w:w="750" w:type="dxa"/>
            <w:vAlign w:val="center"/>
          </w:tcPr>
          <w:p>
            <w:pPr>
              <w:pStyle w:val="13"/>
            </w:pPr>
          </w:p>
        </w:tc>
        <w:tc>
          <w:tcPr>
            <w:tcW w:w="855" w:type="dxa"/>
            <w:vAlign w:val="center"/>
          </w:tcPr>
          <w:p>
            <w:pPr>
              <w:pStyle w:val="13"/>
            </w:pPr>
          </w:p>
        </w:tc>
        <w:tc>
          <w:tcPr>
            <w:tcW w:w="645" w:type="dxa"/>
            <w:vAlign w:val="center"/>
          </w:tcPr>
          <w:p>
            <w:pPr>
              <w:pStyle w:val="13"/>
            </w:pPr>
          </w:p>
        </w:tc>
        <w:tc>
          <w:tcPr>
            <w:tcW w:w="675" w:type="dxa"/>
            <w:vAlign w:val="center"/>
          </w:tcPr>
          <w:p>
            <w:pPr>
              <w:pStyle w:val="13"/>
            </w:pPr>
          </w:p>
        </w:tc>
        <w:tc>
          <w:tcPr>
            <w:tcW w:w="736" w:type="dxa"/>
            <w:vAlign w:val="center"/>
          </w:tcPr>
          <w:p>
            <w:pPr>
              <w:pStyle w:val="13"/>
            </w:pPr>
          </w:p>
        </w:tc>
        <w:tc>
          <w:tcPr>
            <w:tcW w:w="964" w:type="dxa"/>
            <w:vAlign w:val="center"/>
          </w:tcPr>
          <w:p>
            <w:pPr>
              <w:pStyle w:val="13"/>
            </w:pPr>
            <w:r>
              <w:t>1700.00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09" w:hRule="atLeast"/>
          <w:jc w:val="center"/>
        </w:trPr>
        <w:tc>
          <w:tcPr>
            <w:tcW w:w="2393" w:type="dxa"/>
            <w:vAlign w:val="center"/>
          </w:tcPr>
          <w:p>
            <w:pPr>
              <w:pStyle w:val="12"/>
            </w:pPr>
            <w:r>
              <w:t>执法局农村环卫作业市场化经费</w:t>
            </w:r>
          </w:p>
        </w:tc>
        <w:tc>
          <w:tcPr>
            <w:tcW w:w="960" w:type="dxa"/>
            <w:vAlign w:val="center"/>
          </w:tcPr>
          <w:p>
            <w:pPr>
              <w:pStyle w:val="13"/>
            </w:pPr>
            <w:r>
              <w:t>1800.00</w:t>
            </w:r>
          </w:p>
        </w:tc>
        <w:tc>
          <w:tcPr>
            <w:tcW w:w="1530" w:type="dxa"/>
            <w:vAlign w:val="center"/>
          </w:tcPr>
          <w:p>
            <w:pPr>
              <w:pStyle w:val="12"/>
            </w:pPr>
            <w:r>
              <w:t>清扫服务</w:t>
            </w:r>
          </w:p>
        </w:tc>
        <w:tc>
          <w:tcPr>
            <w:tcW w:w="1005" w:type="dxa"/>
            <w:vAlign w:val="center"/>
          </w:tcPr>
          <w:p>
            <w:pPr>
              <w:pStyle w:val="12"/>
            </w:pPr>
            <w:r>
              <w:t>C160101</w:t>
            </w:r>
          </w:p>
        </w:tc>
        <w:tc>
          <w:tcPr>
            <w:tcW w:w="1035" w:type="dxa"/>
            <w:vAlign w:val="center"/>
          </w:tcPr>
          <w:p>
            <w:pPr>
              <w:pStyle w:val="11"/>
            </w:pPr>
            <w:r>
              <w:t>万元/年</w:t>
            </w:r>
          </w:p>
        </w:tc>
        <w:tc>
          <w:tcPr>
            <w:tcW w:w="465" w:type="dxa"/>
            <w:vAlign w:val="center"/>
          </w:tcPr>
          <w:p>
            <w:pPr>
              <w:pStyle w:val="13"/>
            </w:pPr>
            <w:r>
              <w:t>1</w:t>
            </w:r>
          </w:p>
        </w:tc>
        <w:tc>
          <w:tcPr>
            <w:tcW w:w="960" w:type="dxa"/>
            <w:vAlign w:val="center"/>
          </w:tcPr>
          <w:p>
            <w:pPr>
              <w:pStyle w:val="13"/>
            </w:pPr>
            <w:r>
              <w:t>1800.00</w:t>
            </w:r>
          </w:p>
        </w:tc>
        <w:tc>
          <w:tcPr>
            <w:tcW w:w="1005" w:type="dxa"/>
            <w:vAlign w:val="center"/>
          </w:tcPr>
          <w:p>
            <w:pPr>
              <w:pStyle w:val="13"/>
            </w:pPr>
            <w:r>
              <w:t>1800.00</w:t>
            </w:r>
          </w:p>
        </w:tc>
        <w:tc>
          <w:tcPr>
            <w:tcW w:w="1065" w:type="dxa"/>
            <w:vAlign w:val="center"/>
          </w:tcPr>
          <w:p>
            <w:pPr>
              <w:pStyle w:val="13"/>
            </w:pPr>
          </w:p>
        </w:tc>
        <w:tc>
          <w:tcPr>
            <w:tcW w:w="975" w:type="dxa"/>
            <w:vAlign w:val="center"/>
          </w:tcPr>
          <w:p>
            <w:pPr>
              <w:pStyle w:val="13"/>
            </w:pPr>
            <w:r>
              <w:t>1800.00</w:t>
            </w:r>
          </w:p>
        </w:tc>
        <w:tc>
          <w:tcPr>
            <w:tcW w:w="750" w:type="dxa"/>
            <w:vAlign w:val="center"/>
          </w:tcPr>
          <w:p>
            <w:pPr>
              <w:pStyle w:val="13"/>
            </w:pPr>
          </w:p>
        </w:tc>
        <w:tc>
          <w:tcPr>
            <w:tcW w:w="855" w:type="dxa"/>
            <w:vAlign w:val="center"/>
          </w:tcPr>
          <w:p>
            <w:pPr>
              <w:pStyle w:val="13"/>
            </w:pPr>
          </w:p>
        </w:tc>
        <w:tc>
          <w:tcPr>
            <w:tcW w:w="645" w:type="dxa"/>
            <w:vAlign w:val="center"/>
          </w:tcPr>
          <w:p>
            <w:pPr>
              <w:pStyle w:val="13"/>
            </w:pPr>
          </w:p>
        </w:tc>
        <w:tc>
          <w:tcPr>
            <w:tcW w:w="675" w:type="dxa"/>
            <w:vAlign w:val="center"/>
          </w:tcPr>
          <w:p>
            <w:pPr>
              <w:pStyle w:val="13"/>
            </w:pPr>
          </w:p>
        </w:tc>
        <w:tc>
          <w:tcPr>
            <w:tcW w:w="736" w:type="dxa"/>
            <w:vAlign w:val="center"/>
          </w:tcPr>
          <w:p>
            <w:pPr>
              <w:pStyle w:val="13"/>
            </w:pPr>
          </w:p>
        </w:tc>
        <w:tc>
          <w:tcPr>
            <w:tcW w:w="964" w:type="dxa"/>
            <w:vAlign w:val="center"/>
          </w:tcPr>
          <w:p>
            <w:pPr>
              <w:pStyle w:val="13"/>
            </w:pPr>
            <w:r>
              <w:t>900.00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4" w:name="_Toc_3_3_0000000016"/>
      <w:r>
        <w:rPr>
          <w:rFonts w:ascii="黑体" w:hAnsi="黑体" w:eastAsia="黑体" w:cs="黑体"/>
          <w:color w:val="000000"/>
          <w:sz w:val="32"/>
        </w:rPr>
        <w:t>七、国有资产信息</w:t>
      </w:r>
      <w:bookmarkEnd w:id="14"/>
    </w:p>
    <w:p>
      <w:pPr>
        <w:spacing w:line="500" w:lineRule="exact"/>
        <w:ind w:firstLine="560"/>
      </w:pPr>
      <w:r>
        <w:rPr>
          <w:rFonts w:eastAsia="方正仿宋_GBK"/>
          <w:color w:val="000000"/>
          <w:sz w:val="28"/>
        </w:rPr>
        <w:t>高阳县城市管理综合行政执法局上年末固定资产金额为</w:t>
      </w:r>
      <w:r>
        <w:rPr>
          <w:rFonts w:hint="eastAsia" w:eastAsia="方正仿宋_GBK"/>
          <w:color w:val="000000"/>
          <w:sz w:val="28"/>
          <w:lang w:val="en-US" w:eastAsia="zh-CN"/>
        </w:rPr>
        <w:t>713.36</w:t>
      </w:r>
      <w:r>
        <w:rPr>
          <w:rFonts w:eastAsia="方正仿宋_GBK"/>
          <w:color w:val="000000"/>
          <w:sz w:val="28"/>
        </w:rPr>
        <w:t>万元（详见下表）。本年度拟购置固定资产总额为19.96万元</w:t>
      </w:r>
      <w:r>
        <w:rPr>
          <w:rFonts w:hint="eastAsia" w:eastAsia="方正仿宋_GBK"/>
          <w:color w:val="000000"/>
          <w:sz w:val="28"/>
          <w:lang w:eastAsia="zh-CN"/>
        </w:rPr>
        <w:t>，主要用于购置执法设备及办公设备</w:t>
      </w:r>
      <w:r>
        <w:rPr>
          <w:rFonts w:hint="eastAsia" w:eastAsia="方正仿宋_GBK"/>
          <w:color w:val="000000"/>
          <w:sz w:val="28"/>
          <w:lang w:val="en-US" w:eastAsia="zh-CN"/>
        </w:rPr>
        <w:t>。没有达到政府采购标准，不在政府采购预算体现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335高阳县城市管理综合行政执法局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1"/>
            </w:pPr>
          </w:p>
        </w:tc>
        <w:tc>
          <w:tcPr>
            <w:tcW w:w="2835" w:type="dxa"/>
            <w:vAlign w:val="center"/>
          </w:tcPr>
          <w:p>
            <w:pPr>
              <w:pStyle w:val="13"/>
              <w:rPr>
                <w:rFonts w:hint="default" w:eastAsia="方正书宋_GBK"/>
                <w:lang w:val="en-US" w:eastAsia="zh-CN"/>
              </w:rPr>
            </w:pPr>
            <w:r>
              <w:rPr>
                <w:rFonts w:hint="eastAsia"/>
                <w:lang w:val="en-US" w:eastAsia="zh-CN"/>
              </w:rPr>
              <w:t>713.36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1"/>
            </w:pPr>
            <w:r>
              <w:t>16</w:t>
            </w:r>
          </w:p>
        </w:tc>
        <w:tc>
          <w:tcPr>
            <w:tcW w:w="2835" w:type="dxa"/>
            <w:vAlign w:val="center"/>
          </w:tcPr>
          <w:p>
            <w:pPr>
              <w:pStyle w:val="13"/>
            </w:pPr>
            <w:r>
              <w:t>433.14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1"/>
            </w:pPr>
            <w:r>
              <w:t>847</w:t>
            </w:r>
          </w:p>
        </w:tc>
        <w:tc>
          <w:tcPr>
            <w:tcW w:w="2835" w:type="dxa"/>
            <w:vAlign w:val="center"/>
          </w:tcPr>
          <w:p>
            <w:pPr>
              <w:pStyle w:val="13"/>
            </w:pPr>
            <w:r>
              <w:t>280.22</w:t>
            </w:r>
          </w:p>
        </w:tc>
      </w:tr>
    </w:tbl>
    <w:p>
      <w:pPr>
        <w:ind w:firstLine="640"/>
      </w:pPr>
      <w:r>
        <w:rPr>
          <w:rFonts w:eastAsia="方正仿宋_GBK"/>
          <w:color w:val="000000"/>
          <w:sz w:val="32"/>
        </w:rPr>
        <w:t xml:space="preserve"> </w:t>
      </w:r>
    </w:p>
    <w:p>
      <w:pPr>
        <w:spacing w:before="10" w:after="10"/>
        <w:ind w:firstLine="640"/>
        <w:outlineLvl w:val="2"/>
      </w:pPr>
      <w:bookmarkStart w:id="15" w:name="_Toc_3_3_0000000017"/>
      <w:r>
        <w:rPr>
          <w:rFonts w:ascii="黑体" w:hAnsi="黑体" w:eastAsia="黑体" w:cs="黑体"/>
          <w:color w:val="000000"/>
          <w:sz w:val="32"/>
        </w:rPr>
        <w:t>八、名词解释</w:t>
      </w:r>
      <w:bookmarkEnd w:id="15"/>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6" w:name="_Toc_3_3_0000000018"/>
      <w:r>
        <w:rPr>
          <w:rFonts w:ascii="黑体" w:hAnsi="黑体" w:eastAsia="黑体" w:cs="黑体"/>
          <w:color w:val="000000"/>
          <w:sz w:val="32"/>
        </w:rPr>
        <w:t>九、其他需要说明的事项</w:t>
      </w:r>
      <w:bookmarkEnd w:id="16"/>
    </w:p>
    <w:p>
      <w:pPr>
        <w:spacing w:line="500" w:lineRule="exact"/>
        <w:ind w:firstLine="560"/>
        <w:rPr>
          <w:rFonts w:hint="eastAsia" w:eastAsia="方正仿宋_GBK"/>
          <w:lang w:eastAsia="zh-CN"/>
        </w:rPr>
      </w:pPr>
      <w:r>
        <w:rPr>
          <w:rFonts w:hint="eastAsia" w:eastAsia="方正仿宋_GBK"/>
          <w:color w:val="000000"/>
          <w:sz w:val="28"/>
          <w:lang w:eastAsia="zh-CN"/>
        </w:rPr>
        <w:t>高阳县城市管理综合行政执法局</w:t>
      </w:r>
      <w:r>
        <w:rPr>
          <w:rFonts w:eastAsia="方正仿宋_GBK"/>
          <w:color w:val="000000"/>
          <w:sz w:val="28"/>
        </w:rPr>
        <w:t>无其他需要说明的事项</w:t>
      </w:r>
      <w:r>
        <w:rPr>
          <w:rFonts w:hint="eastAsia" w:eastAsia="方正仿宋_GBK"/>
          <w:color w:val="000000"/>
          <w:sz w:val="28"/>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16256"/>
    <w:multiLevelType w:val="singleLevel"/>
    <w:tmpl w:val="33B16256"/>
    <w:lvl w:ilvl="0" w:tentative="0">
      <w:start w:val="2"/>
      <w:numFmt w:val="chineseCounting"/>
      <w:suff w:val="space"/>
      <w:lvlText w:val="第%1部分"/>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3BA4FE5"/>
    <w:rsid w:val="08EC2947"/>
    <w:rsid w:val="0AC25820"/>
    <w:rsid w:val="0CD51D27"/>
    <w:rsid w:val="10DD5A76"/>
    <w:rsid w:val="14EE4175"/>
    <w:rsid w:val="15C937ED"/>
    <w:rsid w:val="1F093DEC"/>
    <w:rsid w:val="230C60D3"/>
    <w:rsid w:val="25FB682B"/>
    <w:rsid w:val="2D5E0A3F"/>
    <w:rsid w:val="330C5891"/>
    <w:rsid w:val="3D7D6FF3"/>
    <w:rsid w:val="44BD1AE3"/>
    <w:rsid w:val="47E8640A"/>
    <w:rsid w:val="4A1C1856"/>
    <w:rsid w:val="4B792D05"/>
    <w:rsid w:val="4FCC4721"/>
    <w:rsid w:val="53BE08EB"/>
    <w:rsid w:val="56452A3E"/>
    <w:rsid w:val="584F04D0"/>
    <w:rsid w:val="5CE24F62"/>
    <w:rsid w:val="5E784DDE"/>
    <w:rsid w:val="604D3936"/>
    <w:rsid w:val="65216B4F"/>
    <w:rsid w:val="6650669A"/>
    <w:rsid w:val="68773A93"/>
    <w:rsid w:val="6E455D60"/>
    <w:rsid w:val="7E5E4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OC 1"/>
    <w:basedOn w:val="1"/>
    <w:autoRedefine/>
    <w:qFormat/>
    <w:uiPriority w:val="0"/>
    <w:pPr>
      <w:spacing w:before="120"/>
      <w:ind w:firstLine="560"/>
    </w:pPr>
    <w:rPr>
      <w:rFonts w:eastAsia="方正仿宋_GBK"/>
      <w:color w:val="000000"/>
      <w:sz w:val="28"/>
    </w:rPr>
  </w:style>
  <w:style w:type="paragraph" w:customStyle="1" w:styleId="7">
    <w:name w:val="单元格样式20"/>
    <w:basedOn w:val="1"/>
    <w:autoRedefine/>
    <w:qFormat/>
    <w:uiPriority w:val="0"/>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Normal_dfa65edf-8c51-42fb-93ee-4a41cc8a6747"/>
    <w:qFormat/>
    <w:uiPriority w:val="0"/>
    <w:rPr>
      <w:rFonts w:ascii="Times New Roman" w:hAnsi="Times New Roman" w:eastAsia="Times New Roman" w:cs="Times New Roman"/>
      <w:sz w:val="24"/>
      <w:szCs w:val="24"/>
      <w:lang w:val="en-US" w:eastAsia="uk-UA" w:bidi="ar-SA"/>
    </w:rPr>
  </w:style>
  <w:style w:type="paragraph" w:customStyle="1" w:styleId="25">
    <w:name w:val="单元格样式1_3cf79da0-6c37-4bc9-9993-2600101872dd"/>
    <w:basedOn w:val="1"/>
    <w:autoRedefine/>
    <w:qFormat/>
    <w:uiPriority w:val="0"/>
    <w:pPr>
      <w:jc w:val="center"/>
    </w:pPr>
    <w:rPr>
      <w:rFonts w:ascii="方正书宋_GBK" w:hAnsi="方正书宋_GBK" w:eastAsia="方正书宋_GBK" w:cs="方正书宋_GBK"/>
      <w:b/>
      <w:sz w:val="21"/>
    </w:rPr>
  </w:style>
  <w:style w:type="paragraph" w:customStyle="1" w:styleId="26">
    <w:name w:val="单元格样式2_d051ec53-0371-4729-8c03-9ebc6544f521"/>
    <w:basedOn w:val="1"/>
    <w:autoRedefine/>
    <w:qFormat/>
    <w:uiPriority w:val="0"/>
    <w:rPr>
      <w:rFonts w:ascii="方正书宋_GBK" w:hAnsi="方正书宋_GBK" w:eastAsia="方正书宋_GBK" w:cs="方正书宋_GBK"/>
      <w:sz w:val="21"/>
    </w:rPr>
  </w:style>
  <w:style w:type="paragraph" w:customStyle="1" w:styleId="27">
    <w:name w:val="单元格样式3_2ebf89c2-a401-44ef-bf91-979c2fde3cfe"/>
    <w:basedOn w:val="1"/>
    <w:autoRedefine/>
    <w:qFormat/>
    <w:uiPriority w:val="0"/>
    <w:pPr>
      <w:jc w:val="center"/>
    </w:pPr>
    <w:rPr>
      <w:rFonts w:ascii="方正书宋_GBK" w:hAnsi="方正书宋_GBK" w:eastAsia="方正书宋_GBK" w:cs="方正书宋_GBK"/>
      <w:sz w:val="21"/>
    </w:rPr>
  </w:style>
  <w:style w:type="paragraph" w:customStyle="1" w:styleId="28">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15520</Words>
  <Characters>18632</Characters>
  <Lines>0</Lines>
  <Paragraphs>0</Paragraphs>
  <TotalTime>0</TotalTime>
  <ScaleCrop>false</ScaleCrop>
  <LinksUpToDate>false</LinksUpToDate>
  <CharactersWithSpaces>18833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2022-06-16T10:01:00Z</dcterms:created>
  <dc:creator>Administrator</dc:creator>
  <cp:lastModifiedBy>Administrator</cp:lastModifiedBy>
  <dcterms:modified xsi:type="dcterms:W3CDTF">2024-01-11T01:18:22Z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4927424BC3194EC58FD57F162D8D420B</vt:lpwstr>
  </property>
</Properties>
</file>