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2023年部门预算信息公开目录</w:t>
      </w:r>
    </w:p>
    <w:p>
      <w:pPr>
        <w:jc w:val="center"/>
      </w:pPr>
      <w:r>
        <w:rPr>
          <w:rFonts w:ascii="黑体" w:eastAsia="黑体" w:cs="黑体"/>
          <w:b/>
          <w:color w:val="000000"/>
          <w:sz w:val="30"/>
        </w:rPr>
        <w:t xml:space="preserve"> </w:t>
      </w:r>
    </w:p>
    <w:p>
      <w:r>
        <w:rPr>
          <w:rFonts w:asci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4"/>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4"/>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34"/>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pPr>
        <w:pStyle w:val="34"/>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pPr>
        <w:pStyle w:val="34"/>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34"/>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docGrid w:linePitch="326" w:charSpace="0"/>
        </w:sectP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r>
        <w:rPr>
          <w:rFonts w:ascii="方正小标宋_GBK" w:eastAsia="方正小标宋_GBK" w:cs="方正小标宋_GBK"/>
          <w:color w:val="000000"/>
          <w:sz w:val="72"/>
        </w:rPr>
        <w:t xml:space="preserve">  部门预算公开表</w:t>
      </w:r>
    </w:p>
    <w:p>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168.83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168.83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6"/>
            </w:pPr>
            <w:r>
              <w:t>本年收入合计</w:t>
            </w:r>
          </w:p>
        </w:tc>
        <w:tc>
          <w:tcPr>
            <w:tcW w:w="2126" w:type="dxa"/>
            <w:vAlign w:val="center"/>
          </w:tcPr>
          <w:p>
            <w:pPr>
              <w:pStyle w:val="17"/>
            </w:pPr>
            <w:r>
              <w:t>168.83</w:t>
            </w:r>
          </w:p>
        </w:tc>
        <w:tc>
          <w:tcPr>
            <w:tcW w:w="4535" w:type="dxa"/>
            <w:vAlign w:val="center"/>
          </w:tcPr>
          <w:p>
            <w:pPr>
              <w:pStyle w:val="16"/>
            </w:pPr>
            <w:r>
              <w:t>本年支出合计</w:t>
            </w:r>
          </w:p>
        </w:tc>
        <w:tc>
          <w:tcPr>
            <w:tcW w:w="2126" w:type="dxa"/>
            <w:vAlign w:val="center"/>
          </w:tcPr>
          <w:p>
            <w:pPr>
              <w:pStyle w:val="17"/>
            </w:pPr>
            <w:r>
              <w:t>168.83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6" w:type="dxa"/>
            <w:vAlign w:val="center"/>
          </w:tcPr>
          <w:p>
            <w:pPr>
              <w:pStyle w:val="16"/>
            </w:pPr>
            <w:r>
              <w:t>收入总计</w:t>
            </w:r>
          </w:p>
        </w:tc>
        <w:tc>
          <w:tcPr>
            <w:tcW w:w="2126" w:type="dxa"/>
            <w:vAlign w:val="center"/>
          </w:tcPr>
          <w:p>
            <w:pPr>
              <w:pStyle w:val="17"/>
            </w:pPr>
            <w:r>
              <w:t>168.83</w:t>
            </w:r>
          </w:p>
        </w:tc>
        <w:tc>
          <w:tcPr>
            <w:tcW w:w="4535" w:type="dxa"/>
            <w:vAlign w:val="center"/>
          </w:tcPr>
          <w:p>
            <w:pPr>
              <w:pStyle w:val="16"/>
            </w:pPr>
            <w:r>
              <w:t>支出总计</w:t>
            </w:r>
          </w:p>
        </w:tc>
        <w:tc>
          <w:tcPr>
            <w:tcW w:w="2126" w:type="dxa"/>
            <w:vAlign w:val="center"/>
          </w:tcPr>
          <w:p>
            <w:pPr>
              <w:pStyle w:val="17"/>
            </w:pPr>
            <w:r>
              <w:t>168.83</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168.83</w:t>
            </w:r>
          </w:p>
        </w:tc>
        <w:tc>
          <w:tcPr>
            <w:tcW w:w="1134" w:type="dxa"/>
            <w:vAlign w:val="center"/>
          </w:tcPr>
          <w:p>
            <w:pPr>
              <w:pStyle w:val="17"/>
            </w:pPr>
            <w:r>
              <w:t>168.83</w:t>
            </w:r>
          </w:p>
        </w:tc>
        <w:tc>
          <w:tcPr>
            <w:tcW w:w="1134" w:type="dxa"/>
            <w:vAlign w:val="center"/>
          </w:tcPr>
          <w:p>
            <w:pPr>
              <w:pStyle w:val="17"/>
            </w:pPr>
            <w:r>
              <w:t>168.83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r>
              <w:t>168.83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168.83</w:t>
            </w:r>
          </w:p>
        </w:tc>
        <w:tc>
          <w:tcPr>
            <w:tcW w:w="1361" w:type="dxa"/>
            <w:vAlign w:val="center"/>
          </w:tcPr>
          <w:p>
            <w:pPr>
              <w:pStyle w:val="17"/>
            </w:pPr>
            <w:r>
              <w:t>145.83</w:t>
            </w:r>
          </w:p>
        </w:tc>
        <w:tc>
          <w:tcPr>
            <w:tcW w:w="1361" w:type="dxa"/>
            <w:vAlign w:val="center"/>
          </w:tcPr>
          <w:p>
            <w:pPr>
              <w:pStyle w:val="17"/>
            </w:pPr>
            <w:r>
              <w:t>23.00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212</w:t>
            </w:r>
          </w:p>
        </w:tc>
        <w:tc>
          <w:tcPr>
            <w:tcW w:w="4536" w:type="dxa"/>
            <w:vAlign w:val="center"/>
          </w:tcPr>
          <w:p>
            <w:pPr>
              <w:pStyle w:val="14"/>
            </w:pPr>
            <w:r>
              <w:t>城乡社区支出</w:t>
            </w:r>
          </w:p>
        </w:tc>
        <w:tc>
          <w:tcPr>
            <w:tcW w:w="1361" w:type="dxa"/>
            <w:vAlign w:val="center"/>
          </w:tcPr>
          <w:p>
            <w:pPr>
              <w:pStyle w:val="13"/>
            </w:pPr>
            <w:r>
              <w:t>168.83</w:t>
            </w:r>
          </w:p>
        </w:tc>
        <w:tc>
          <w:tcPr>
            <w:tcW w:w="1361" w:type="dxa"/>
            <w:vAlign w:val="center"/>
          </w:tcPr>
          <w:p>
            <w:pPr>
              <w:pStyle w:val="13"/>
            </w:pPr>
            <w:r>
              <w:t>145.83</w:t>
            </w:r>
          </w:p>
        </w:tc>
        <w:tc>
          <w:tcPr>
            <w:tcW w:w="1361" w:type="dxa"/>
            <w:vAlign w:val="center"/>
          </w:tcPr>
          <w:p>
            <w:pPr>
              <w:pStyle w:val="13"/>
            </w:pPr>
            <w:r>
              <w:t>23.00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21201</w:t>
            </w:r>
          </w:p>
        </w:tc>
        <w:tc>
          <w:tcPr>
            <w:tcW w:w="4536" w:type="dxa"/>
            <w:vAlign w:val="center"/>
          </w:tcPr>
          <w:p>
            <w:pPr>
              <w:pStyle w:val="14"/>
            </w:pPr>
            <w:r>
              <w:t>城乡社区管理事务</w:t>
            </w:r>
          </w:p>
        </w:tc>
        <w:tc>
          <w:tcPr>
            <w:tcW w:w="1361" w:type="dxa"/>
            <w:vAlign w:val="center"/>
          </w:tcPr>
          <w:p>
            <w:pPr>
              <w:pStyle w:val="13"/>
            </w:pPr>
            <w:r>
              <w:t>168.83</w:t>
            </w:r>
          </w:p>
        </w:tc>
        <w:tc>
          <w:tcPr>
            <w:tcW w:w="1361" w:type="dxa"/>
            <w:vAlign w:val="center"/>
          </w:tcPr>
          <w:p>
            <w:pPr>
              <w:pStyle w:val="13"/>
            </w:pPr>
            <w:r>
              <w:t>145.83</w:t>
            </w:r>
          </w:p>
        </w:tc>
        <w:tc>
          <w:tcPr>
            <w:tcW w:w="1361" w:type="dxa"/>
            <w:vAlign w:val="center"/>
          </w:tcPr>
          <w:p>
            <w:pPr>
              <w:pStyle w:val="13"/>
            </w:pPr>
            <w:r>
              <w:t>23.00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2120199</w:t>
            </w:r>
          </w:p>
        </w:tc>
        <w:tc>
          <w:tcPr>
            <w:tcW w:w="4536" w:type="dxa"/>
            <w:vAlign w:val="center"/>
          </w:tcPr>
          <w:p>
            <w:pPr>
              <w:pStyle w:val="14"/>
            </w:pPr>
            <w:r>
              <w:t>其他城乡社区管理事务支出</w:t>
            </w:r>
          </w:p>
        </w:tc>
        <w:tc>
          <w:tcPr>
            <w:tcW w:w="1361" w:type="dxa"/>
            <w:vAlign w:val="center"/>
          </w:tcPr>
          <w:p>
            <w:pPr>
              <w:pStyle w:val="13"/>
            </w:pPr>
            <w:r>
              <w:t>168.83</w:t>
            </w:r>
          </w:p>
        </w:tc>
        <w:tc>
          <w:tcPr>
            <w:tcW w:w="1361" w:type="dxa"/>
            <w:vAlign w:val="center"/>
          </w:tcPr>
          <w:p>
            <w:pPr>
              <w:pStyle w:val="13"/>
            </w:pPr>
            <w:r>
              <w:t>145.83</w:t>
            </w:r>
          </w:p>
        </w:tc>
        <w:tc>
          <w:tcPr>
            <w:tcW w:w="1361" w:type="dxa"/>
            <w:vAlign w:val="center"/>
          </w:tcPr>
          <w:p>
            <w:pPr>
              <w:pStyle w:val="13"/>
            </w:pPr>
            <w:r>
              <w:t>23.00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168.83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168.83</w:t>
            </w:r>
          </w:p>
        </w:tc>
        <w:tc>
          <w:tcPr>
            <w:tcW w:w="1474" w:type="dxa"/>
            <w:vAlign w:val="center"/>
          </w:tcPr>
          <w:p>
            <w:pPr>
              <w:pStyle w:val="13"/>
            </w:pPr>
            <w:r>
              <w:t>168.83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168.83</w:t>
            </w:r>
          </w:p>
        </w:tc>
        <w:tc>
          <w:tcPr>
            <w:tcW w:w="3402" w:type="dxa"/>
            <w:vAlign w:val="center"/>
          </w:tcPr>
          <w:p>
            <w:pPr>
              <w:pStyle w:val="16"/>
            </w:pPr>
            <w:r>
              <w:t>本年支出合计</w:t>
            </w:r>
          </w:p>
        </w:tc>
        <w:tc>
          <w:tcPr>
            <w:tcW w:w="1474" w:type="dxa"/>
            <w:vAlign w:val="center"/>
          </w:tcPr>
          <w:p>
            <w:pPr>
              <w:pStyle w:val="17"/>
            </w:pPr>
            <w:r>
              <w:t>168.83</w:t>
            </w:r>
          </w:p>
        </w:tc>
        <w:tc>
          <w:tcPr>
            <w:tcW w:w="1474" w:type="dxa"/>
            <w:vAlign w:val="center"/>
          </w:tcPr>
          <w:p>
            <w:pPr>
              <w:pStyle w:val="17"/>
            </w:pPr>
            <w:r>
              <w:t>168.83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168.83</w:t>
            </w:r>
          </w:p>
        </w:tc>
        <w:tc>
          <w:tcPr>
            <w:tcW w:w="3402" w:type="dxa"/>
            <w:vAlign w:val="center"/>
          </w:tcPr>
          <w:p>
            <w:pPr>
              <w:pStyle w:val="16"/>
            </w:pPr>
            <w:r>
              <w:t>支出总计</w:t>
            </w:r>
          </w:p>
        </w:tc>
        <w:tc>
          <w:tcPr>
            <w:tcW w:w="1474" w:type="dxa"/>
            <w:vAlign w:val="center"/>
          </w:tcPr>
          <w:p>
            <w:pPr>
              <w:pStyle w:val="17"/>
            </w:pPr>
            <w:r>
              <w:t>168.83</w:t>
            </w:r>
          </w:p>
        </w:tc>
        <w:tc>
          <w:tcPr>
            <w:tcW w:w="1474" w:type="dxa"/>
            <w:vAlign w:val="center"/>
          </w:tcPr>
          <w:p>
            <w:pPr>
              <w:pStyle w:val="17"/>
            </w:pPr>
            <w:r>
              <w:t>168.83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168.83</w:t>
            </w:r>
          </w:p>
        </w:tc>
        <w:tc>
          <w:tcPr>
            <w:tcW w:w="2551" w:type="dxa"/>
            <w:vAlign w:val="center"/>
          </w:tcPr>
          <w:p>
            <w:pPr>
              <w:pStyle w:val="17"/>
            </w:pPr>
            <w:r>
              <w:t>145.83</w:t>
            </w:r>
          </w:p>
        </w:tc>
        <w:tc>
          <w:tcPr>
            <w:tcW w:w="2551" w:type="dxa"/>
            <w:vAlign w:val="center"/>
          </w:tcPr>
          <w:p>
            <w:pPr>
              <w:pStyle w:val="17"/>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168.83</w:t>
            </w:r>
          </w:p>
        </w:tc>
        <w:tc>
          <w:tcPr>
            <w:tcW w:w="2551" w:type="dxa"/>
            <w:vAlign w:val="center"/>
          </w:tcPr>
          <w:p>
            <w:pPr>
              <w:pStyle w:val="13"/>
            </w:pPr>
            <w:r>
              <w:t>145.83</w:t>
            </w:r>
          </w:p>
        </w:tc>
        <w:tc>
          <w:tcPr>
            <w:tcW w:w="2551" w:type="dxa"/>
            <w:vAlign w:val="center"/>
          </w:tcPr>
          <w:p>
            <w:pPr>
              <w:pStyle w:val="13"/>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168.83</w:t>
            </w:r>
          </w:p>
        </w:tc>
        <w:tc>
          <w:tcPr>
            <w:tcW w:w="2551" w:type="dxa"/>
            <w:vAlign w:val="center"/>
          </w:tcPr>
          <w:p>
            <w:pPr>
              <w:pStyle w:val="13"/>
            </w:pPr>
            <w:r>
              <w:t>145.83</w:t>
            </w:r>
          </w:p>
        </w:tc>
        <w:tc>
          <w:tcPr>
            <w:tcW w:w="2551" w:type="dxa"/>
            <w:vAlign w:val="center"/>
          </w:tcPr>
          <w:p>
            <w:pPr>
              <w:pStyle w:val="13"/>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168.83</w:t>
            </w:r>
          </w:p>
        </w:tc>
        <w:tc>
          <w:tcPr>
            <w:tcW w:w="2551" w:type="dxa"/>
            <w:vAlign w:val="center"/>
          </w:tcPr>
          <w:p>
            <w:pPr>
              <w:pStyle w:val="13"/>
            </w:pPr>
            <w:r>
              <w:t>145.83</w:t>
            </w:r>
          </w:p>
        </w:tc>
        <w:tc>
          <w:tcPr>
            <w:tcW w:w="2551" w:type="dxa"/>
            <w:vAlign w:val="center"/>
          </w:tcPr>
          <w:p>
            <w:pPr>
              <w:pStyle w:val="13"/>
            </w:pPr>
            <w:r>
              <w:t>23.00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145.83</w:t>
            </w:r>
          </w:p>
        </w:tc>
        <w:tc>
          <w:tcPr>
            <w:tcW w:w="2551" w:type="dxa"/>
            <w:vAlign w:val="center"/>
          </w:tcPr>
          <w:p>
            <w:pPr>
              <w:pStyle w:val="17"/>
            </w:pPr>
            <w:r>
              <w:t>133.41</w:t>
            </w:r>
          </w:p>
        </w:tc>
        <w:tc>
          <w:tcPr>
            <w:tcW w:w="2552" w:type="dxa"/>
            <w:vAlign w:val="center"/>
          </w:tcPr>
          <w:p>
            <w:pPr>
              <w:pStyle w:val="17"/>
            </w:pPr>
            <w:r>
              <w:t>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133.41</w:t>
            </w:r>
          </w:p>
        </w:tc>
        <w:tc>
          <w:tcPr>
            <w:tcW w:w="2551" w:type="dxa"/>
            <w:vAlign w:val="center"/>
          </w:tcPr>
          <w:p>
            <w:pPr>
              <w:pStyle w:val="13"/>
            </w:pPr>
            <w:r>
              <w:t>133.41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133.41</w:t>
            </w:r>
          </w:p>
        </w:tc>
        <w:tc>
          <w:tcPr>
            <w:tcW w:w="2551" w:type="dxa"/>
            <w:vAlign w:val="center"/>
          </w:tcPr>
          <w:p>
            <w:pPr>
              <w:pStyle w:val="13"/>
            </w:pPr>
            <w:r>
              <w:t>133.41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12.42</w:t>
            </w:r>
          </w:p>
        </w:tc>
        <w:tc>
          <w:tcPr>
            <w:tcW w:w="2551" w:type="dxa"/>
            <w:vAlign w:val="center"/>
          </w:tcPr>
          <w:p>
            <w:pPr>
              <w:pStyle w:val="13"/>
            </w:pPr>
          </w:p>
        </w:tc>
        <w:tc>
          <w:tcPr>
            <w:tcW w:w="2552" w:type="dxa"/>
            <w:vAlign w:val="center"/>
          </w:tcPr>
          <w:p>
            <w:pPr>
              <w:pStyle w:val="13"/>
            </w:pPr>
            <w:r>
              <w:t>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2.64</w:t>
            </w:r>
          </w:p>
        </w:tc>
        <w:tc>
          <w:tcPr>
            <w:tcW w:w="2551" w:type="dxa"/>
            <w:vAlign w:val="center"/>
          </w:tcPr>
          <w:p>
            <w:pPr>
              <w:pStyle w:val="13"/>
            </w:pPr>
          </w:p>
        </w:tc>
        <w:tc>
          <w:tcPr>
            <w:tcW w:w="2552"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1.12</w:t>
            </w:r>
          </w:p>
        </w:tc>
        <w:tc>
          <w:tcPr>
            <w:tcW w:w="2551" w:type="dxa"/>
            <w:vAlign w:val="center"/>
          </w:tcPr>
          <w:p>
            <w:pPr>
              <w:pStyle w:val="13"/>
            </w:pPr>
          </w:p>
        </w:tc>
        <w:tc>
          <w:tcPr>
            <w:tcW w:w="2552" w:type="dxa"/>
            <w:vAlign w:val="center"/>
          </w:tcPr>
          <w:p>
            <w:pPr>
              <w:pStyle w:val="13"/>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3.33</w:t>
            </w:r>
          </w:p>
        </w:tc>
        <w:tc>
          <w:tcPr>
            <w:tcW w:w="2551" w:type="dxa"/>
            <w:vAlign w:val="center"/>
          </w:tcPr>
          <w:p>
            <w:pPr>
              <w:pStyle w:val="13"/>
            </w:pPr>
          </w:p>
        </w:tc>
        <w:tc>
          <w:tcPr>
            <w:tcW w:w="2552" w:type="dxa"/>
            <w:vAlign w:val="center"/>
          </w:tcPr>
          <w:p>
            <w:pPr>
              <w:pStyle w:val="13"/>
            </w:pPr>
            <w: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4.36</w:t>
            </w:r>
          </w:p>
        </w:tc>
        <w:tc>
          <w:tcPr>
            <w:tcW w:w="2551" w:type="dxa"/>
            <w:vAlign w:val="center"/>
          </w:tcPr>
          <w:p>
            <w:pPr>
              <w:pStyle w:val="13"/>
            </w:pPr>
          </w:p>
        </w:tc>
        <w:tc>
          <w:tcPr>
            <w:tcW w:w="2552" w:type="dxa"/>
            <w:vAlign w:val="center"/>
          </w:tcPr>
          <w:p>
            <w:pPr>
              <w:pStyle w:val="13"/>
            </w:pPr>
            <w:r>
              <w:t>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0.16</w:t>
            </w:r>
          </w:p>
        </w:tc>
        <w:tc>
          <w:tcPr>
            <w:tcW w:w="2551" w:type="dxa"/>
            <w:vAlign w:val="center"/>
          </w:tcPr>
          <w:p>
            <w:pPr>
              <w:pStyle w:val="13"/>
            </w:pPr>
          </w:p>
        </w:tc>
        <w:tc>
          <w:tcPr>
            <w:tcW w:w="2552"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0.70</w:t>
            </w:r>
          </w:p>
        </w:tc>
        <w:tc>
          <w:tcPr>
            <w:tcW w:w="2551" w:type="dxa"/>
            <w:vAlign w:val="center"/>
          </w:tcPr>
          <w:p>
            <w:pPr>
              <w:pStyle w:val="13"/>
            </w:pPr>
          </w:p>
        </w:tc>
        <w:tc>
          <w:tcPr>
            <w:tcW w:w="2552"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0.11</w:t>
            </w:r>
          </w:p>
        </w:tc>
        <w:tc>
          <w:tcPr>
            <w:tcW w:w="2551" w:type="dxa"/>
            <w:vAlign w:val="center"/>
          </w:tcPr>
          <w:p>
            <w:pPr>
              <w:pStyle w:val="13"/>
            </w:pPr>
          </w:p>
        </w:tc>
        <w:tc>
          <w:tcPr>
            <w:tcW w:w="2552" w:type="dxa"/>
            <w:vAlign w:val="center"/>
          </w:tcPr>
          <w:p>
            <w:pPr>
              <w:pStyle w:val="13"/>
            </w:pPr>
            <w:r>
              <w:t>0.11</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asci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高阳县污水处理费征缴办公室2023年部门预算信息公开情况说明</w:t>
      </w:r>
    </w:p>
    <w:p>
      <w:pPr>
        <w:jc w:val="center"/>
      </w:pPr>
      <w:r>
        <w:rPr>
          <w:rFonts w:ascii="方正小标宋_GBK" w:eastAsia="方正小标宋_GBK" w:cs="方正小标宋_GBK"/>
          <w:color w:val="000000"/>
          <w:sz w:val="44"/>
        </w:rPr>
        <w:t>高阳县污水处理费征缴办公室2023年部门预算信息公开情况说明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、《地方预决算公开操作规程》和《关于进一步推进预算公开工作的实施意见》规定，现将高阳县污水处理费征缴办公室2023年部门预算公开如下：</w:t>
      </w:r>
    </w:p>
    <w:p>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pPr>
        <w:ind w:firstLine="640"/>
      </w:pPr>
      <w:r>
        <w:rPr>
          <w:rFonts w:ascii="方正楷体_GBK" w:eastAsia="方正楷体_GBK" w:cs="方正楷体_GBK"/>
          <w:b/>
          <w:color w:val="000000"/>
          <w:sz w:val="32"/>
        </w:rPr>
        <w:t>部门职责：</w:t>
      </w:r>
    </w:p>
    <w:p>
      <w:pPr>
        <w:pStyle w:val="19"/>
      </w:pPr>
      <w:r>
        <w:t>1、宣传贯彻上级及县委、县政府关于污水处理费收取的各项政策规定。</w:t>
      </w:r>
    </w:p>
    <w:p>
      <w:pPr>
        <w:pStyle w:val="19"/>
      </w:pPr>
      <w:r>
        <w:t>2、负责全县所有排污企业及涉水重点单位污水处理费的计量、核算、征缴。</w:t>
      </w:r>
    </w:p>
    <w:p>
      <w:pPr>
        <w:pStyle w:val="19"/>
      </w:pPr>
      <w:r>
        <w:t>3、负责涉水单位计量设施的安装、运行和维护。</w:t>
      </w:r>
    </w:p>
    <w:p>
      <w:pPr>
        <w:pStyle w:val="19"/>
      </w:pPr>
      <w:r>
        <w:t>4、负责对水利局和自来水公司涉水收费计量工作实施技术指导，并根据其职责，核定下达污水处理费征收任务，并监督其按期完成任务。</w:t>
      </w:r>
    </w:p>
    <w:p>
      <w:pPr>
        <w:pStyle w:val="19"/>
      </w:pPr>
      <w:r>
        <w:t>5、协助相关部门加强污水处理厂监管，确保其稳定运行。</w:t>
      </w:r>
    </w:p>
    <w:p>
      <w:pPr>
        <w:pStyle w:val="19"/>
      </w:pPr>
      <w:r>
        <w:t>6、调查处理管辖范围内所有涉水单位违法违规行为。</w:t>
      </w:r>
    </w:p>
    <w:p>
      <w:pPr>
        <w:pStyle w:val="19"/>
      </w:pPr>
      <w:r>
        <w:t>7、协助相关单位做好涉水企业的服务工作。</w:t>
      </w:r>
    </w:p>
    <w:p>
      <w:pPr>
        <w:pStyle w:val="19"/>
      </w:pPr>
      <w:r>
        <w:t>8、完成县委、县政府交办的其他事项。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部门机构设置情况</w:t>
      </w:r>
    </w:p>
    <w:tbl>
      <w:tblPr>
        <w:tblStyle w:val="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pPr>
            <w:r>
              <w:t>高阳县污水处理费征缴办公室</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财政性资金零补助</w:t>
            </w:r>
          </w:p>
        </w:tc>
      </w:tr>
    </w:tbl>
    <w:p>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pPr>
        <w:pStyle w:val="20"/>
      </w:pPr>
      <w:r>
        <w:t>按照预算管理有关规定，目前我县部门预算的编制实行综合预算管理，即全部收入和支出都反映在预算中。高阳县污水处理费征缴办公室及所属事业单位的收支包含在部门预算中。</w:t>
      </w:r>
    </w:p>
    <w:p>
      <w:pPr>
        <w:pStyle w:val="20"/>
      </w:pPr>
      <w:r>
        <w:t xml:space="preserve">1、收入说明  </w:t>
      </w:r>
    </w:p>
    <w:p>
      <w:pPr>
        <w:pStyle w:val="20"/>
      </w:pPr>
      <w:r>
        <w:t>反映本部门当年全部收入，2023年预算收入168.83万元。其中：一般公共预算收入168.83万元，基金预算收入0万元，国有资本经营预算收入0万元，财政专户核拨收入0万元，单位资金收入0万元，上年结转结余0万元。</w:t>
      </w:r>
    </w:p>
    <w:p>
      <w:pPr>
        <w:pStyle w:val="20"/>
      </w:pPr>
      <w:r>
        <w:t xml:space="preserve">2、支出说明       </w:t>
      </w:r>
    </w:p>
    <w:p>
      <w:pPr>
        <w:pStyle w:val="20"/>
      </w:pPr>
      <w:r>
        <w:t>收支预算总表支出栏、基本支出表、项目支出表按经济分类和支出功能分类科目编制，反映高阳县污水处理费征缴办公室年度部门预算中支出预算的总体情况。2023年支出预算168.83万元，其中基本支出 145.83万元，包括人员经费133.41万元和日常公用经费12.42万元；项目支出   23万元，包括污水处理费征缴工作经费（劳务派遣）14.5万元，用于负责全县污水处理费的征收管理工作；污水处理费征缴工作经费8.5万元，根据工作需要用于租赁车辆费用。</w:t>
      </w:r>
    </w:p>
    <w:p>
      <w:pPr>
        <w:pStyle w:val="20"/>
      </w:pPr>
      <w:r>
        <w:t>3、比上年增减情况</w:t>
      </w:r>
    </w:p>
    <w:p>
      <w:pPr>
        <w:pStyle w:val="20"/>
      </w:pPr>
      <w:r>
        <w:t>2023年预算收支安排168.83万元，较2022年预算减少56.48万元。其中：基本支出减少40.91万元，主要是日常公用经费支出减少48.27万元，人员经费支出增加7.36万元；项目支出减少15.57万元，主要是因为完全按照县编制要求安排，确实降低运行成本。</w:t>
      </w:r>
    </w:p>
    <w:p>
      <w:pPr>
        <w:spacing w:before="10" w:after="10" w:line="360" w:lineRule="auto"/>
        <w:ind w:firstLine="640"/>
        <w:outlineLvl w:val="2"/>
      </w:pPr>
      <w:bookmarkStart w:id="11" w:name="_Toc_3_3_0000000012"/>
      <w:r>
        <w:rPr>
          <w:rFonts w:ascii="黑体" w:eastAsia="黑体" w:cs="黑体"/>
          <w:color w:val="000000"/>
          <w:sz w:val="32"/>
        </w:rPr>
        <w:t>三、机关运行经费安排情况</w:t>
      </w:r>
      <w:bookmarkEnd w:id="11"/>
    </w:p>
    <w:p>
      <w:pPr>
        <w:pStyle w:val="21"/>
      </w:pPr>
      <w:r>
        <w:t>2023年，我部门运行经费共计安排12.42万元，主要用于日常维修、办公用房电费、办公用房取暖费等日常运行支出。其中：（1）基础定额项目11.61万元，包括办公费2.64万元、电费1.12万元、公务移动通讯补贴1.68万元、其他邮电费1.65万元、办公取暖费4.36万元、维修维护费0.16万元共6项。（2）按规定比例计提项目0.81万元，包括福利费0.7万元、党组织活动经费0.11万元。完全按照县编制要求安排，确实降低运行成本。</w:t>
      </w:r>
    </w:p>
    <w:p>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pPr>
        <w:pStyle w:val="22"/>
      </w:pPr>
      <w:r>
        <w:t>2023年，我部门财政拨款“三公”经费预算安排0万元，其中因公出国（境）费0万元；公务用车购置及运维费0万元（其中：公务用车购置费为0万元，公务用车运维费0万元）；公务接待费0万元。与2022年相比减少0万元。减少的主要原因是：按照关于厉行节约、改进工作作风、密切联系群众</w:t>
      </w:r>
      <w:r>
        <w:rPr>
          <w:rFonts w:hint="eastAsia"/>
        </w:rPr>
        <w:t>中央八项规定</w:t>
      </w:r>
      <w:r>
        <w:t>等有关要求及编制标准，严格控制“三公”经费支出，推进“三公”经费管理规范化、制度化、节约化，“三公”经费逐年递减。</w:t>
      </w:r>
    </w:p>
    <w:p>
      <w:pPr>
        <w:pStyle w:val="22"/>
      </w:pPr>
      <w:r>
        <w:t>“三公”经费预算情况</w:t>
      </w:r>
    </w:p>
    <w:p>
      <w:pPr>
        <w:pStyle w:val="22"/>
      </w:pPr>
      <w:r>
        <w:t>单位：元</w:t>
      </w:r>
    </w:p>
    <w:tbl>
      <w:tblPr>
        <w:tblStyle w:val="7"/>
        <w:tblW w:w="14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2"/>
        <w:gridCol w:w="2977"/>
        <w:gridCol w:w="2977"/>
        <w:gridCol w:w="2126"/>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项目名称</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2022年度预算</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2023年度预算</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增减金额</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hint="eastAsia" w:eastAsia="方正仿宋_GBK"/>
                <w:sz w:val="28"/>
                <w:lang w:eastAsia="zh-CN"/>
              </w:rPr>
            </w:pPr>
            <w:r>
              <w:rPr>
                <w:rFonts w:eastAsia="方正仿宋_GBK"/>
                <w:sz w:val="28"/>
              </w:rPr>
              <w:t>变化原因</w:t>
            </w:r>
            <w:r>
              <w:rPr>
                <w:rFonts w:hint="eastAsia" w:eastAsia="方正仿宋_GBK"/>
                <w:sz w:val="28"/>
                <w:lang w:eastAsia="zh-CN"/>
              </w:rPr>
              <w:t>说明</w:t>
            </w:r>
            <w:bookmarkStart w:id="18" w:name="_GoBack"/>
            <w:bookmarkEnd w:id="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因公出国（境）费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无增减变化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公务用车购置费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无增减变化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4" w:hRule="atLeast"/>
        </w:trPr>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公务用车运维费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无增减变化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公务接待费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无增减变化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合计</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pPr>
              <w:spacing w:line="500" w:lineRule="exact"/>
              <w:ind w:firstLine="560" w:firstLineChars="200"/>
              <w:rPr>
                <w:rFonts w:eastAsia="方正仿宋_GBK"/>
                <w:sz w:val="28"/>
              </w:rPr>
            </w:pPr>
            <w:r>
              <w:rPr>
                <w:rFonts w:eastAsia="方正仿宋_GBK"/>
                <w:sz w:val="28"/>
              </w:rPr>
              <w:t>无增减变化</w:t>
            </w:r>
          </w:p>
        </w:tc>
      </w:tr>
    </w:tbl>
    <w:p>
      <w:pPr>
        <w:pStyle w:val="22"/>
      </w:pPr>
    </w:p>
    <w:p>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pPr>
        <w:ind w:firstLine="640"/>
      </w:pPr>
      <w:r>
        <w:rPr>
          <w:rFonts w:asci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t>2023年，充分认识企业进园区对我县纺织印染行业的短期影响和环保、水利政策的主导趋势，我们将紧紧围绕县委、县政府关于纺织印染行业整治提升的统一安排部署，牢牢抓住多种数据比对和多重手段监管，按照力度不减，标准不降，措施创新，频次增加的总体原则，进一步加大偷排偷费行为查处和打击力度，对照</w:t>
      </w:r>
      <w:r>
        <w:rPr>
          <w:rFonts w:hint="eastAsia"/>
          <w:lang w:eastAsia="zh-CN"/>
        </w:rPr>
        <w:t>污水处理厂</w:t>
      </w:r>
      <w:r>
        <w:t>水量变化规律，查找征费漏洞，增加人工抄表作为补充，校正气（汽）量、电量、水量参考数据，实现量全额足征缴。</w:t>
      </w:r>
    </w:p>
    <w:p>
      <w:pPr>
        <w:spacing w:line="500" w:lineRule="exact"/>
        <w:ind w:firstLine="560"/>
      </w:pPr>
      <w:r>
        <w:rPr>
          <w:rFonts w:eastAsia="方正仿宋_GBK"/>
          <w:color w:val="000000"/>
          <w:sz w:val="28"/>
        </w:rPr>
        <w:t>（二）分项绩效目标</w:t>
      </w:r>
    </w:p>
    <w:p>
      <w:pPr>
        <w:pStyle w:val="24"/>
      </w:pPr>
      <w:r>
        <w:t>1、依法依规足额征缴污水处理费</w:t>
      </w:r>
    </w:p>
    <w:p>
      <w:pPr>
        <w:pStyle w:val="24"/>
      </w:pPr>
      <w:r>
        <w:t>绩效目标：严格落实收费责任，加大收费力度，确保完成县委、县政府确定的收费任务。</w:t>
      </w:r>
    </w:p>
    <w:p>
      <w:pPr>
        <w:pStyle w:val="24"/>
      </w:pPr>
      <w:r>
        <w:t>绩效指标：根据县委、县政府确定的收费任务，2023年实际收取污水处理费占全年计划的100%。</w:t>
      </w:r>
    </w:p>
    <w:p>
      <w:pPr>
        <w:pStyle w:val="24"/>
      </w:pPr>
      <w:r>
        <w:t>2、完善平台建设</w:t>
      </w:r>
    </w:p>
    <w:p>
      <w:pPr>
        <w:pStyle w:val="24"/>
      </w:pPr>
      <w:r>
        <w:t>绩效目标：实现对入管网企业污排水量的准确计量、数据稳定传输、分析和核算，以计量数据为主要依据征收污水处理费。</w:t>
      </w:r>
    </w:p>
    <w:p>
      <w:pPr>
        <w:pStyle w:val="24"/>
      </w:pPr>
      <w:r>
        <w:t>绩效指标：监控平台负责监控企业的运行状况，实现100%无缝隙监管，实际监管涉水企业数据达到100%稳定、准确传输。</w:t>
      </w:r>
    </w:p>
    <w:p>
      <w:pPr>
        <w:pStyle w:val="24"/>
      </w:pPr>
      <w:r>
        <w:t>3、加强对涉水企业的监管稽查</w:t>
      </w:r>
    </w:p>
    <w:p>
      <w:pPr>
        <w:pStyle w:val="24"/>
      </w:pPr>
      <w:r>
        <w:t>绩效目标：对涉水企业流量计建立定期校验和抽查校验相结合的管理机制，确保其正常使用，准确计量。利用日常稽查、专项稽查、突击稽查等方式，加大征费稽查力度，以查促管，对所有涉水单位进行不定期稽查。利用平台数据和大数据确定重点稽查对象。</w:t>
      </w:r>
    </w:p>
    <w:p>
      <w:pPr>
        <w:pStyle w:val="24"/>
      </w:pPr>
      <w:r>
        <w:t>绩效指标：对涉水企业的日常监管稽查率达到100%，负责企业电磁流量计的维修、保养、校验、更换，确保计量设施正常使用。</w:t>
      </w:r>
    </w:p>
    <w:p>
      <w:pPr>
        <w:pStyle w:val="24"/>
      </w:pPr>
      <w:r>
        <w:t>4、加大宣传力度</w:t>
      </w:r>
    </w:p>
    <w:p>
      <w:pPr>
        <w:pStyle w:val="24"/>
      </w:pPr>
      <w:r>
        <w:t>绩效目标：宣传贯彻上级及县委、县政府关于污水处理费收取的各项政策规定。要大张旗鼓的表彰先进，对拒不缴费、顶风违纪的，要公开曝光。通过舆论引导，让广大群众真正了解、理解和支持征费工作，在全社会形成“全县发动、全面响应、自觉缴费、违法必惩”的浓厚氛围。加大宣传力度，加大群众认可度。充分运用电视、广播、会议、悬挂横幅、对企业宣讲、发明白纸、宣传手册等形式，大力宣传城市污水处理费征收管理的有关政策法规，做到家喻户晓、人人皆知、共同参与。</w:t>
      </w:r>
    </w:p>
    <w:p>
      <w:pPr>
        <w:pStyle w:val="24"/>
      </w:pPr>
      <w:r>
        <w:t>绩效指标：每年向群众、企业等宣传工作覆盖率达到100%。</w:t>
      </w:r>
    </w:p>
    <w:p>
      <w:pPr>
        <w:pStyle w:val="24"/>
      </w:pPr>
      <w:r>
        <w:t>5、加强对污水处理厂的处理水量的监督</w:t>
      </w:r>
    </w:p>
    <w:p>
      <w:pPr>
        <w:pStyle w:val="24"/>
      </w:pPr>
      <w:r>
        <w:t>绩效目标：由高阳县污水处理费征缴办公室负责污水处理厂的水量监管，确保准确计量。实现污水处理量的双控制。加强污水处理厂监管，确保其稳定运行。高阳县污水处理费征缴办公室和污水处理厂要按月核对污水处理量，核对无误后双方签字盖章报财政局。财政局凭双方盖章手续、支付污水处理费。</w:t>
      </w:r>
    </w:p>
    <w:p>
      <w:pPr>
        <w:pStyle w:val="24"/>
      </w:pPr>
      <w:r>
        <w:t>绩效指标：确保污水处理量核对工作及时完成并按时上报污水处理费完成情况。</w:t>
      </w:r>
    </w:p>
    <w:p>
      <w:pPr>
        <w:spacing w:line="500" w:lineRule="exact"/>
        <w:ind w:firstLine="560"/>
      </w:pPr>
      <w:r>
        <w:rPr>
          <w:rFonts w:eastAsia="方正仿宋_GBK"/>
          <w:color w:val="000000"/>
          <w:sz w:val="28"/>
        </w:rPr>
        <w:t>（三）工作保障措施</w:t>
      </w:r>
    </w:p>
    <w:p>
      <w:pPr>
        <w:pStyle w:val="25"/>
      </w:pPr>
      <w:r>
        <w:t>1、完善制度建设。我办及时成立预算绩效管理工作小组，由征缴办主任高文恒同志任组长，成员为各项目负责人及相关人员。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2、加强支出管理。通过优化支出结构、编细编实预算、加快履行政府采购手续、尽快启动项目、及时支付资金等多种措施，确保支出进度达标。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6、加强内部监督。加强内部监督制度建设，对绩效运行情况、重大支出决策、资产处置及其他重要经济业务事项的决策和执行进行督导，配合做好审计、财政监督等外部监督工作，确保财政资金安全有效。</w:t>
      </w:r>
    </w:p>
    <w:p>
      <w:pPr>
        <w:pStyle w:val="25"/>
      </w:pPr>
      <w:r>
        <w:t>7、加强宣传培训调研等。加强人员培训，提高本部门职工业务素质；加强调研，提出优化财政资金配置、提高资金使用效益的意见建议；加大宣传力度，强化预算绩效管理意识，促进预算绩效管理水平进一步提升。</w:t>
      </w:r>
    </w:p>
    <w:p>
      <w:pPr>
        <w:ind w:firstLine="64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pPr>
        <w:ind w:firstLine="640"/>
        <w:rPr>
          <w:rFonts w:eastAsia="方正仿宋_GBK"/>
          <w:sz w:val="28"/>
        </w:rPr>
        <w:sectPr>
          <w:pgSz w:w="16840" w:h="11900" w:orient="landscape"/>
          <w:pgMar w:top="1361" w:right="1020" w:bottom="1361" w:left="1020" w:header="720" w:footer="720" w:gutter="0"/>
          <w:cols w:space="720" w:num="1"/>
          <w:docGrid w:linePitch="326" w:charSpace="0"/>
        </w:sectPr>
      </w:pPr>
      <w:r>
        <w:rPr>
          <w:rFonts w:eastAsia="方正仿宋_GBK" w:cs="方正楷体_GBK"/>
          <w:sz w:val="28"/>
        </w:rPr>
        <w:t>无。</w:t>
      </w:r>
    </w:p>
    <w:p>
      <w:pPr>
        <w:ind w:firstLine="64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ind w:firstLine="560"/>
      </w:pPr>
      <w:r>
        <w:rPr>
          <w:rFonts w:ascii="方正仿宋_GBK" w:eastAsia="方正仿宋_GBK" w:cs="方正仿宋_GBK"/>
          <w:b/>
          <w:color w:val="000000"/>
          <w:sz w:val="28"/>
        </w:rPr>
        <w:t>1、污水处理费征缴工作经费绩效目标表</w:t>
      </w:r>
    </w:p>
    <w:tbl>
      <w:tblPr>
        <w:tblStyle w:val="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1.加快推进征缴办各项工作任务，更好的推进征缴办工作有序快速发展。</w:t>
            </w:r>
          </w:p>
          <w:p>
            <w:pPr>
              <w:pStyle w:val="14"/>
            </w:pPr>
            <w:r>
              <w:t>2.严格落实收费责任，加大收费力度，确保完成县委、县政府确定的收费任务。</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2835" w:type="dxa"/>
            <w:vAlign w:val="center"/>
          </w:tcPr>
          <w:p>
            <w:pPr>
              <w:pStyle w:val="14"/>
            </w:pPr>
            <w:r>
              <w:t>车辆租赁个数</w:t>
            </w:r>
          </w:p>
        </w:tc>
        <w:tc>
          <w:tcPr>
            <w:tcW w:w="2551" w:type="dxa"/>
            <w:vAlign w:val="center"/>
          </w:tcPr>
          <w:p>
            <w:pPr>
              <w:pStyle w:val="14"/>
            </w:pPr>
            <w:r>
              <w:t>≤4辆</w:t>
            </w:r>
          </w:p>
        </w:tc>
        <w:tc>
          <w:tcPr>
            <w:tcW w:w="2268"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准确率</w:t>
            </w:r>
          </w:p>
        </w:tc>
        <w:tc>
          <w:tcPr>
            <w:tcW w:w="2835" w:type="dxa"/>
            <w:vAlign w:val="center"/>
          </w:tcPr>
          <w:p>
            <w:pPr>
              <w:pStyle w:val="14"/>
            </w:pPr>
            <w:r>
              <w:t>资金拨付准确率</w:t>
            </w:r>
          </w:p>
        </w:tc>
        <w:tc>
          <w:tcPr>
            <w:tcW w:w="2551" w:type="dxa"/>
            <w:vAlign w:val="center"/>
          </w:tcPr>
          <w:p>
            <w:pPr>
              <w:pStyle w:val="14"/>
            </w:pPr>
            <w:r>
              <w:t>100%</w:t>
            </w:r>
          </w:p>
        </w:tc>
        <w:tc>
          <w:tcPr>
            <w:tcW w:w="2268"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执行率</w:t>
            </w:r>
          </w:p>
        </w:tc>
        <w:tc>
          <w:tcPr>
            <w:tcW w:w="2835" w:type="dxa"/>
            <w:vAlign w:val="center"/>
          </w:tcPr>
          <w:p>
            <w:pPr>
              <w:pStyle w:val="14"/>
            </w:pPr>
            <w:r>
              <w:t>资金执行率</w:t>
            </w:r>
          </w:p>
        </w:tc>
        <w:tc>
          <w:tcPr>
            <w:tcW w:w="2551" w:type="dxa"/>
            <w:vAlign w:val="center"/>
          </w:tcPr>
          <w:p>
            <w:pPr>
              <w:pStyle w:val="14"/>
            </w:pPr>
            <w:r>
              <w:t>100%</w:t>
            </w:r>
          </w:p>
        </w:tc>
        <w:tc>
          <w:tcPr>
            <w:tcW w:w="2268"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保障年度</w:t>
            </w:r>
          </w:p>
        </w:tc>
        <w:tc>
          <w:tcPr>
            <w:tcW w:w="2835" w:type="dxa"/>
            <w:vAlign w:val="center"/>
          </w:tcPr>
          <w:p>
            <w:pPr>
              <w:pStyle w:val="14"/>
            </w:pPr>
            <w:r>
              <w:t>保障单位正常运转时间</w:t>
            </w:r>
          </w:p>
        </w:tc>
        <w:tc>
          <w:tcPr>
            <w:tcW w:w="2551" w:type="dxa"/>
            <w:vAlign w:val="center"/>
          </w:tcPr>
          <w:p>
            <w:pPr>
              <w:pStyle w:val="14"/>
            </w:pPr>
            <w:r>
              <w:t>1年</w:t>
            </w:r>
          </w:p>
        </w:tc>
        <w:tc>
          <w:tcPr>
            <w:tcW w:w="2268"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满意度占比</w:t>
            </w:r>
          </w:p>
        </w:tc>
        <w:tc>
          <w:tcPr>
            <w:tcW w:w="2551" w:type="dxa"/>
            <w:vAlign w:val="center"/>
          </w:tcPr>
          <w:p>
            <w:pPr>
              <w:pStyle w:val="14"/>
            </w:pPr>
            <w:r>
              <w:t>100%</w:t>
            </w:r>
          </w:p>
        </w:tc>
        <w:tc>
          <w:tcPr>
            <w:tcW w:w="2268" w:type="dxa"/>
            <w:vAlign w:val="center"/>
          </w:tcPr>
          <w:p>
            <w:pPr>
              <w:pStyle w:val="14"/>
            </w:pPr>
            <w:r>
              <w:t>租赁合同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2、污水处理费征缴工作经费（劳务派遣）绩效目标表</w:t>
      </w:r>
    </w:p>
    <w:tbl>
      <w:tblPr>
        <w:tblStyle w:val="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1.加快推进征缴办各项工作任务，更好的推进征缴办工作有序快速发展。</w:t>
            </w:r>
          </w:p>
          <w:p>
            <w:pPr>
              <w:pStyle w:val="14"/>
            </w:pPr>
            <w:r>
              <w:t>2.严格落实收费责任，加大收费力度，确保完成县委、县政府确定的收费任务。</w:t>
            </w:r>
          </w:p>
        </w:tc>
      </w:tr>
    </w:tbl>
    <w:p>
      <w:pPr>
        <w:spacing w:line="2" w:lineRule="exact"/>
        <w:jc w:val="center"/>
      </w:pPr>
      <w:r>
        <w:rPr>
          <w:rFonts w:ascii="方正书宋_GBK" w:eastAsia="方正书宋_GBK" w:cs="方正书宋_GBK"/>
          <w:color w:val="000000"/>
          <w:sz w:val="18"/>
        </w:rPr>
        <w:t xml:space="preserve"> </w:t>
      </w:r>
    </w:p>
    <w:tbl>
      <w:tblPr>
        <w:tblStyle w:val="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发放及时性</w:t>
            </w:r>
          </w:p>
        </w:tc>
        <w:tc>
          <w:tcPr>
            <w:tcW w:w="2835" w:type="dxa"/>
            <w:vAlign w:val="center"/>
          </w:tcPr>
          <w:p>
            <w:pPr>
              <w:pStyle w:val="14"/>
            </w:pPr>
            <w:r>
              <w:t>拨付到位及时率</w:t>
            </w:r>
          </w:p>
        </w:tc>
        <w:tc>
          <w:tcPr>
            <w:tcW w:w="2551" w:type="dxa"/>
            <w:vAlign w:val="center"/>
          </w:tcPr>
          <w:p>
            <w:pPr>
              <w:pStyle w:val="14"/>
            </w:pPr>
            <w:r>
              <w:t>100%</w:t>
            </w:r>
          </w:p>
        </w:tc>
        <w:tc>
          <w:tcPr>
            <w:tcW w:w="2268"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发放准确性</w:t>
            </w:r>
          </w:p>
        </w:tc>
        <w:tc>
          <w:tcPr>
            <w:tcW w:w="2835" w:type="dxa"/>
            <w:vAlign w:val="center"/>
          </w:tcPr>
          <w:p>
            <w:pPr>
              <w:pStyle w:val="14"/>
            </w:pPr>
            <w:r>
              <w:t>拨付资金准确率</w:t>
            </w:r>
          </w:p>
        </w:tc>
        <w:tc>
          <w:tcPr>
            <w:tcW w:w="2551" w:type="dxa"/>
            <w:vAlign w:val="center"/>
          </w:tcPr>
          <w:p>
            <w:pPr>
              <w:pStyle w:val="14"/>
            </w:pPr>
            <w:r>
              <w:t>100%</w:t>
            </w:r>
          </w:p>
        </w:tc>
        <w:tc>
          <w:tcPr>
            <w:tcW w:w="2268"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发放执行率</w:t>
            </w:r>
          </w:p>
        </w:tc>
        <w:tc>
          <w:tcPr>
            <w:tcW w:w="2835" w:type="dxa"/>
            <w:vAlign w:val="center"/>
          </w:tcPr>
          <w:p>
            <w:pPr>
              <w:pStyle w:val="14"/>
            </w:pPr>
            <w:r>
              <w:t>实际拨付执行率</w:t>
            </w:r>
          </w:p>
        </w:tc>
        <w:tc>
          <w:tcPr>
            <w:tcW w:w="2551" w:type="dxa"/>
            <w:vAlign w:val="center"/>
          </w:tcPr>
          <w:p>
            <w:pPr>
              <w:pStyle w:val="14"/>
            </w:pPr>
            <w:r>
              <w:t>100%</w:t>
            </w:r>
          </w:p>
        </w:tc>
        <w:tc>
          <w:tcPr>
            <w:tcW w:w="2268"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发放覆盖率</w:t>
            </w:r>
          </w:p>
        </w:tc>
        <w:tc>
          <w:tcPr>
            <w:tcW w:w="2835" w:type="dxa"/>
            <w:vAlign w:val="center"/>
          </w:tcPr>
          <w:p>
            <w:pPr>
              <w:pStyle w:val="14"/>
            </w:pPr>
            <w:r>
              <w:t>实际拨付覆盖率</w:t>
            </w:r>
          </w:p>
        </w:tc>
        <w:tc>
          <w:tcPr>
            <w:tcW w:w="2551" w:type="dxa"/>
            <w:vAlign w:val="center"/>
          </w:tcPr>
          <w:p>
            <w:pPr>
              <w:pStyle w:val="14"/>
            </w:pPr>
            <w:r>
              <w:t>100%</w:t>
            </w:r>
          </w:p>
        </w:tc>
        <w:tc>
          <w:tcPr>
            <w:tcW w:w="2268"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100%</w:t>
            </w:r>
          </w:p>
        </w:tc>
        <w:tc>
          <w:tcPr>
            <w:tcW w:w="2268" w:type="dxa"/>
            <w:vAlign w:val="center"/>
          </w:tcPr>
          <w:p>
            <w:pPr>
              <w:pStyle w:val="14"/>
            </w:pPr>
            <w:r>
              <w:t>劳务费拨付情况</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2"/>
      </w:pPr>
      <w:bookmarkStart w:id="14" w:name="_Toc_3_3_0000000015"/>
      <w:r>
        <w:rPr>
          <w:rFonts w:asci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2023年，高阳县污水处理费征缴办公室安排政府采购预算0.00万元。具体内容见下表。</w:t>
      </w:r>
    </w:p>
    <w:p>
      <w:pPr>
        <w:jc w:val="center"/>
      </w:pPr>
      <w:r>
        <w:rPr>
          <w:rFonts w:ascii="方正小标宋_GBK" w:eastAsia="方正小标宋_GBK" w:cs="方正小标宋_GBK"/>
          <w:color w:val="000000"/>
          <w:sz w:val="36"/>
        </w:rPr>
        <w:t>部门政府采购预算</w:t>
      </w:r>
    </w:p>
    <w:tbl>
      <w:tblPr>
        <w:tblStyle w:val="7"/>
        <w:tblW w:w="1502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884" w:type="dxa"/>
            <w:gridSpan w:val="7"/>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813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499" w:type="dxa"/>
            <w:gridSpan w:val="2"/>
            <w:vAlign w:val="center"/>
          </w:tcPr>
          <w:p>
            <w:pPr>
              <w:pStyle w:val="12"/>
            </w:pPr>
            <w:r>
              <w:t>政府采购项目来源</w:t>
            </w:r>
          </w:p>
        </w:tc>
        <w:tc>
          <w:tcPr>
            <w:tcW w:w="1063" w:type="dxa"/>
            <w:vMerge w:val="restart"/>
            <w:vAlign w:val="center"/>
          </w:tcPr>
          <w:p>
            <w:pPr>
              <w:pStyle w:val="12"/>
            </w:pPr>
            <w:r>
              <w:t>采购物品名称</w:t>
            </w:r>
          </w:p>
        </w:tc>
        <w:tc>
          <w:tcPr>
            <w:tcW w:w="1063" w:type="dxa"/>
            <w:vMerge w:val="restart"/>
            <w:vAlign w:val="center"/>
          </w:tcPr>
          <w:p>
            <w:pPr>
              <w:pStyle w:val="12"/>
            </w:pPr>
            <w:r>
              <w:t>政府采购目录序号</w:t>
            </w:r>
          </w:p>
        </w:tc>
        <w:tc>
          <w:tcPr>
            <w:tcW w:w="665" w:type="dxa"/>
            <w:vMerge w:val="restart"/>
            <w:vAlign w:val="center"/>
          </w:tcPr>
          <w:p>
            <w:pPr>
              <w:pStyle w:val="12"/>
            </w:pPr>
            <w:r>
              <w:t>计量  单位</w:t>
            </w:r>
          </w:p>
        </w:tc>
        <w:tc>
          <w:tcPr>
            <w:tcW w:w="797" w:type="dxa"/>
            <w:vMerge w:val="restart"/>
            <w:vAlign w:val="center"/>
          </w:tcPr>
          <w:p>
            <w:pPr>
              <w:pStyle w:val="12"/>
            </w:pPr>
            <w:r>
              <w:t>数量</w:t>
            </w:r>
          </w:p>
        </w:tc>
        <w:tc>
          <w:tcPr>
            <w:tcW w:w="797" w:type="dxa"/>
            <w:vMerge w:val="restart"/>
            <w:vAlign w:val="center"/>
          </w:tcPr>
          <w:p>
            <w:pPr>
              <w:pStyle w:val="12"/>
            </w:pPr>
            <w:r>
              <w:t>单价</w:t>
            </w:r>
          </w:p>
        </w:tc>
        <w:tc>
          <w:tcPr>
            <w:tcW w:w="7232" w:type="dxa"/>
            <w:gridSpan w:val="8"/>
            <w:vAlign w:val="center"/>
          </w:tcPr>
          <w:p>
            <w:pPr>
              <w:pStyle w:val="12"/>
            </w:pPr>
            <w:r>
              <w:t>政府采购金额（当年部门预算安排资金）</w:t>
            </w:r>
          </w:p>
        </w:tc>
        <w:tc>
          <w:tcPr>
            <w:tcW w:w="90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595" w:type="dxa"/>
            <w:vAlign w:val="center"/>
          </w:tcPr>
          <w:p>
            <w:pPr>
              <w:pStyle w:val="12"/>
            </w:pPr>
            <w:r>
              <w:t>项目名称</w:t>
            </w:r>
          </w:p>
        </w:tc>
        <w:tc>
          <w:tcPr>
            <w:tcW w:w="904" w:type="dxa"/>
            <w:vAlign w:val="center"/>
          </w:tcPr>
          <w:p>
            <w:pPr>
              <w:pStyle w:val="12"/>
            </w:pPr>
            <w:r>
              <w:t>预算    资金</w:t>
            </w:r>
          </w:p>
        </w:tc>
        <w:tc>
          <w:tcPr>
            <w:tcW w:w="1063" w:type="dxa"/>
            <w:vMerge w:val="continue"/>
          </w:tcPr>
          <w:p/>
        </w:tc>
        <w:tc>
          <w:tcPr>
            <w:tcW w:w="1063" w:type="dxa"/>
            <w:vMerge w:val="continue"/>
          </w:tcPr>
          <w:p/>
        </w:tc>
        <w:tc>
          <w:tcPr>
            <w:tcW w:w="665" w:type="dxa"/>
            <w:vMerge w:val="continue"/>
          </w:tcPr>
          <w:p/>
        </w:tc>
        <w:tc>
          <w:tcPr>
            <w:tcW w:w="797" w:type="dxa"/>
            <w:vMerge w:val="continue"/>
          </w:tcPr>
          <w:p/>
        </w:tc>
        <w:tc>
          <w:tcPr>
            <w:tcW w:w="797" w:type="dxa"/>
            <w:vMerge w:val="continue"/>
          </w:tcPr>
          <w:p/>
        </w:tc>
        <w:tc>
          <w:tcPr>
            <w:tcW w:w="904" w:type="dxa"/>
            <w:vAlign w:val="center"/>
          </w:tcPr>
          <w:p>
            <w:pPr>
              <w:pStyle w:val="12"/>
            </w:pPr>
            <w:r>
              <w:t>合计</w:t>
            </w:r>
          </w:p>
        </w:tc>
        <w:tc>
          <w:tcPr>
            <w:tcW w:w="904" w:type="dxa"/>
            <w:vAlign w:val="center"/>
          </w:tcPr>
          <w:p>
            <w:pPr>
              <w:pStyle w:val="12"/>
            </w:pPr>
            <w:r>
              <w:t>一般公共预算拨款</w:t>
            </w:r>
          </w:p>
        </w:tc>
        <w:tc>
          <w:tcPr>
            <w:tcW w:w="904" w:type="dxa"/>
            <w:vAlign w:val="center"/>
          </w:tcPr>
          <w:p>
            <w:pPr>
              <w:pStyle w:val="12"/>
            </w:pPr>
            <w:r>
              <w:t>基金预算拨款</w:t>
            </w:r>
          </w:p>
        </w:tc>
        <w:tc>
          <w:tcPr>
            <w:tcW w:w="904" w:type="dxa"/>
            <w:vAlign w:val="center"/>
          </w:tcPr>
          <w:p>
            <w:pPr>
              <w:pStyle w:val="12"/>
            </w:pPr>
            <w:r>
              <w:t>国有资本经营预算拨款</w:t>
            </w:r>
          </w:p>
        </w:tc>
        <w:tc>
          <w:tcPr>
            <w:tcW w:w="904" w:type="dxa"/>
            <w:vAlign w:val="center"/>
          </w:tcPr>
          <w:p>
            <w:pPr>
              <w:pStyle w:val="12"/>
            </w:pPr>
            <w:r>
              <w:t>财政专户核拨</w:t>
            </w:r>
          </w:p>
        </w:tc>
        <w:tc>
          <w:tcPr>
            <w:tcW w:w="904" w:type="dxa"/>
            <w:vAlign w:val="center"/>
          </w:tcPr>
          <w:p>
            <w:pPr>
              <w:pStyle w:val="12"/>
            </w:pPr>
            <w:r>
              <w:t>单位    资金</w:t>
            </w:r>
          </w:p>
        </w:tc>
        <w:tc>
          <w:tcPr>
            <w:tcW w:w="904" w:type="dxa"/>
            <w:vAlign w:val="center"/>
          </w:tcPr>
          <w:p>
            <w:pPr>
              <w:pStyle w:val="12"/>
            </w:pPr>
            <w:r>
              <w:t>财政拨    款结转</w:t>
            </w:r>
          </w:p>
        </w:tc>
        <w:tc>
          <w:tcPr>
            <w:tcW w:w="904" w:type="dxa"/>
            <w:vAlign w:val="center"/>
          </w:tcPr>
          <w:p>
            <w:pPr>
              <w:pStyle w:val="12"/>
            </w:pPr>
            <w:r>
              <w:t>非财政    拨款结    转结余</w:t>
            </w:r>
          </w:p>
        </w:tc>
        <w:tc>
          <w:tcPr>
            <w:tcW w:w="90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595" w:type="dxa"/>
            <w:vAlign w:val="center"/>
          </w:tcPr>
          <w:p>
            <w:pPr>
              <w:pStyle w:val="14"/>
            </w:pPr>
          </w:p>
        </w:tc>
        <w:tc>
          <w:tcPr>
            <w:tcW w:w="904" w:type="dxa"/>
            <w:vAlign w:val="center"/>
          </w:tcPr>
          <w:p>
            <w:pPr>
              <w:pStyle w:val="13"/>
            </w:pPr>
          </w:p>
        </w:tc>
        <w:tc>
          <w:tcPr>
            <w:tcW w:w="1063" w:type="dxa"/>
            <w:vAlign w:val="center"/>
          </w:tcPr>
          <w:p>
            <w:pPr>
              <w:pStyle w:val="14"/>
            </w:pPr>
          </w:p>
        </w:tc>
        <w:tc>
          <w:tcPr>
            <w:tcW w:w="1063" w:type="dxa"/>
            <w:vAlign w:val="center"/>
          </w:tcPr>
          <w:p>
            <w:pPr>
              <w:pStyle w:val="14"/>
            </w:pPr>
          </w:p>
        </w:tc>
        <w:tc>
          <w:tcPr>
            <w:tcW w:w="665" w:type="dxa"/>
            <w:vAlign w:val="center"/>
          </w:tcPr>
          <w:p>
            <w:pPr>
              <w:pStyle w:val="15"/>
            </w:pPr>
          </w:p>
        </w:tc>
        <w:tc>
          <w:tcPr>
            <w:tcW w:w="797" w:type="dxa"/>
            <w:vAlign w:val="center"/>
          </w:tcPr>
          <w:p>
            <w:pPr>
              <w:pStyle w:val="13"/>
            </w:pPr>
          </w:p>
        </w:tc>
        <w:tc>
          <w:tcPr>
            <w:tcW w:w="797"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c>
          <w:tcPr>
            <w:tcW w:w="90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eastAsia="黑体" w:cs="黑体"/>
          <w:color w:val="000000"/>
          <w:sz w:val="32"/>
        </w:rPr>
        <w:t>七、国有资产信息</w:t>
      </w:r>
      <w:bookmarkEnd w:id="15"/>
    </w:p>
    <w:p>
      <w:pPr>
        <w:spacing w:line="500" w:lineRule="exact"/>
        <w:ind w:firstLine="560"/>
      </w:pPr>
      <w:r>
        <w:rPr>
          <w:rFonts w:eastAsia="方正仿宋_GBK"/>
          <w:color w:val="000000"/>
          <w:sz w:val="28"/>
        </w:rPr>
        <w:t>高阳县污水处理费征缴办公室（含所属单位）上年末固定资产金额为223.35万元（详见下表）。本年度拟购置固定资产总额为0.00万元。</w:t>
      </w:r>
    </w:p>
    <w:p>
      <w:pPr>
        <w:jc w:val="center"/>
      </w:pPr>
      <w:r>
        <w:rPr>
          <w:rFonts w:ascii="方正小标宋_GBK" w:eastAsia="方正小标宋_GBK" w:cs="方正小标宋_GBK"/>
          <w:color w:val="000000"/>
          <w:sz w:val="36"/>
        </w:rPr>
        <w:t>部门固定资产占用情况表</w:t>
      </w:r>
    </w:p>
    <w:tbl>
      <w:tblPr>
        <w:tblStyle w:val="7"/>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911高阳县污水处理费征缴办公室</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223.35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3</w:t>
            </w:r>
          </w:p>
        </w:tc>
        <w:tc>
          <w:tcPr>
            <w:tcW w:w="2835" w:type="dxa"/>
            <w:vAlign w:val="center"/>
          </w:tcPr>
          <w:p>
            <w:pPr>
              <w:pStyle w:val="13"/>
            </w:pPr>
            <w:r>
              <w:t>99.23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317</w:t>
            </w:r>
          </w:p>
        </w:tc>
        <w:tc>
          <w:tcPr>
            <w:tcW w:w="2835" w:type="dxa"/>
            <w:vAlign w:val="center"/>
          </w:tcPr>
          <w:p>
            <w:pPr>
              <w:pStyle w:val="13"/>
            </w:pPr>
            <w:r>
              <w:t>124.12</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000000"/>
    <w:rsid w:val="249D5DFE"/>
    <w:rsid w:val="58626BFA"/>
    <w:rsid w:val="71B07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25</Pages>
  <Words>6893</Words>
  <Characters>7641</Characters>
  <Lines>1216</Lines>
  <Paragraphs>732</Paragraphs>
  <TotalTime>54</TotalTime>
  <ScaleCrop>false</ScaleCrop>
  <LinksUpToDate>false</LinksUpToDate>
  <CharactersWithSpaces>7787</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2023-03-07T09:37:00Z</dcterms:created>
  <dc:creator>Administrator</dc:creator>
  <cp:lastModifiedBy>Administrator</cp:lastModifiedBy>
  <dcterms:modified xsi:type="dcterms:W3CDTF">2024-05-31T05:35:01Z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498F048C6BE9421FB060D56E27D8123F_12</vt:lpwstr>
  </property>
</Properties>
</file>