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高阳县人民政府办公室</w:t>
      </w:r>
    </w:p>
    <w:p>
      <w:pPr>
        <w:snapToGrid w:val="0"/>
        <w:spacing w:line="560" w:lineRule="atLeas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2021年度部门绩效自评工作报告</w:t>
      </w:r>
    </w:p>
    <w:p>
      <w:pPr>
        <w:snapToGrid w:val="0"/>
        <w:spacing w:line="500" w:lineRule="atLeas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根据《高阳县财政局关于做好2021年度县级预算项目绩效自评工作的通知》（高财稽查[2022]1号）文件精神，我单位组织力量对2021年所有项目支出资金支出情况进行了绩效自评，现将评价情况报告如下：</w:t>
      </w:r>
    </w:p>
    <w:p>
      <w:pPr>
        <w:spacing w:line="560" w:lineRule="exact"/>
        <w:ind w:firstLine="803" w:firstLineChars="2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一、绩效自评工作组织开展情况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（一）部门绩效自评工作组织情况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2021年初，高阳县人民政府办公室严格按照县财政局通知要求，确定以县政府办公室为本部门2021年度绩效自评工作主体，成立了以县政府办公室主任为组长的绩效自评工作领导小组，召开机关班子会议，出台了《高阳县人民政府办公室预算绩效管理实施方案》，开展了绩效自评工作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（二）部门绩效自评工作实施过程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县财政局绩效自评管理办法及办公室预算绩效管理实施方案，办公室绩效自评工作领导小组着重对2021年度办公室整体支出情况进行了绩效自评。自评工作遵循全面覆盖、程序简便、客观公正、公开透明原则，以国家法律法规、方针政策和财政部门相关制度为主要依据，组织专业人员对所有项目预算、绩效设定、执行、资金支付等环节进行全面考量，采取量化评分的形式进行。根据自评情况，填写了绩效自评表，并对自评工作进行了全面总结，形成了专题报告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（三）部门预算安排及资金分配拨付情况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1.2021年年初预算安排经费997.25万元，其中非限额补助997.25万元。包括人员经费321.01万元，日常公用经费465.14元，项目支出211.1万元。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2、本年年初项目9个，</w:t>
      </w:r>
      <w:r>
        <w:rPr>
          <w:rFonts w:ascii="仿宋" w:hAnsi="仿宋" w:eastAsia="仿宋"/>
          <w:sz w:val="30"/>
          <w:szCs w:val="30"/>
        </w:rPr>
        <w:t>主要用于高阳县</w:t>
      </w:r>
      <w:r>
        <w:rPr>
          <w:rFonts w:hint="eastAsia" w:ascii="仿宋" w:hAnsi="仿宋" w:eastAsia="仿宋"/>
          <w:sz w:val="30"/>
          <w:szCs w:val="30"/>
        </w:rPr>
        <w:t>政府办网络光纤租用费（24.6万元），广告牌租赁费（20.00万元），人防专项经费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8.79</w:t>
      </w:r>
      <w:r>
        <w:rPr>
          <w:rFonts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</w:rPr>
        <w:t>高阳县公务用车服务平台车辆经费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33.93</w:t>
      </w:r>
      <w:r>
        <w:rPr>
          <w:rFonts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</w:rPr>
        <w:t>政府办OA办公系统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25.82</w:t>
      </w:r>
      <w:r>
        <w:rPr>
          <w:rFonts w:ascii="仿宋" w:hAnsi="仿宋" w:eastAsia="仿宋"/>
          <w:sz w:val="30"/>
          <w:szCs w:val="30"/>
        </w:rPr>
        <w:t>万元）</w:t>
      </w:r>
      <w:r>
        <w:rPr>
          <w:rFonts w:hint="eastAsia" w:ascii="仿宋" w:hAnsi="仿宋" w:eastAsia="仿宋"/>
          <w:sz w:val="30"/>
          <w:szCs w:val="30"/>
        </w:rPr>
        <w:t>，政府办招商引资（14.97万元），金融工作（10.00万元），地方志工作（8.59万元）</w:t>
      </w:r>
      <w:r>
        <w:rPr>
          <w:rFonts w:ascii="仿宋" w:hAnsi="仿宋" w:eastAsia="仿宋"/>
          <w:sz w:val="30"/>
          <w:szCs w:val="30"/>
        </w:rPr>
        <w:t>以及</w:t>
      </w:r>
      <w:r>
        <w:rPr>
          <w:rFonts w:hint="eastAsia" w:ascii="仿宋" w:hAnsi="仿宋" w:eastAsia="仿宋"/>
          <w:sz w:val="30"/>
          <w:szCs w:val="30"/>
        </w:rPr>
        <w:t>治超工作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4.95</w:t>
      </w:r>
      <w:r>
        <w:rPr>
          <w:rFonts w:ascii="仿宋" w:hAnsi="仿宋" w:eastAsia="仿宋"/>
          <w:sz w:val="30"/>
          <w:szCs w:val="30"/>
        </w:rPr>
        <w:t>万元）。</w:t>
      </w:r>
      <w:r>
        <w:rPr>
          <w:rFonts w:hint="eastAsia" w:ascii="仿宋" w:hAnsi="仿宋" w:eastAsia="仿宋"/>
          <w:sz w:val="30"/>
          <w:szCs w:val="30"/>
        </w:rPr>
        <w:t>已拨付到位并严格按照支出内容支出。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（四）部门日常财务管理情况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2021年度，县政府办公室严格按照相关法律法规和财务制度不断完善、加强财务管理。健全了财务管理和监督相关制度，出台了相关管理办法，资金申请和拨付严格按照财务制度和有关程序，预算、决算工作坚持公开透明，财务工作日趋规范。</w:t>
      </w:r>
    </w:p>
    <w:p>
      <w:pPr>
        <w:spacing w:line="560" w:lineRule="exact"/>
        <w:ind w:firstLine="803" w:firstLineChars="2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二、绩效目标实现情况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（一）部门整体工作开展情况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2021年，政府办公室将紧紧围绕县委、县政府确定的各项重点工作，坚持目标要求与实际工作相结合，解决问题与提高素质相结合，进一步增强推动加快发展、科学发展的信心和决心，强化中心意识、服务意识和效率意识，团结协作，求真务实，攻坚克难，确保圆满完成全年任务目标。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第一、</w:t>
      </w:r>
      <w:r>
        <w:rPr>
          <w:rFonts w:ascii="仿宋" w:hAnsi="仿宋" w:eastAsia="仿宋"/>
          <w:sz w:val="30"/>
          <w:szCs w:val="30"/>
        </w:rPr>
        <w:t>总体思路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以党的十九大和</w:t>
      </w:r>
      <w:r>
        <w:rPr>
          <w:rFonts w:hint="eastAsia" w:ascii="仿宋" w:hAnsi="仿宋" w:eastAsia="仿宋"/>
          <w:sz w:val="30"/>
          <w:szCs w:val="30"/>
        </w:rPr>
        <w:t>全国两会精神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为指导，全面贯彻科学发展观，认真落实县委、县政府的决策部署，以“增强全局意识、改进机关作风、提高工作水平、促进科学发展”为主题，突出中心，强化管理，主动协调，高效服务，努力开创办公室各项工作新局面。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</w:t>
      </w:r>
      <w:r>
        <w:rPr>
          <w:rFonts w:ascii="仿宋" w:hAnsi="仿宋" w:eastAsia="仿宋"/>
          <w:sz w:val="30"/>
          <w:szCs w:val="30"/>
        </w:rPr>
        <w:t>二、目标要求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高质量办文。起草文件要做到思路明确、内容翔实；传送文件要保证程序合理、格式规范；印发文件要力争及时准确。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高水平办事。在做好办公室日常公务接待的同时，着力做好县政府和办公室领导交办的各项工作，切实做到为领导服务优质高效，为机关、基层服务尽心尽力。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高标准办会。认真做好政府全会、政府常务会、县长办公会及其他专项会议的会务组织工作，会前做好会议通知、会场布置、人员签到，会中做好会议记录，会后及时制发会议纪要，确保会议部署的工作如期落实。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</w:t>
      </w:r>
      <w:r>
        <w:rPr>
          <w:rFonts w:ascii="仿宋" w:hAnsi="仿宋" w:eastAsia="仿宋"/>
          <w:sz w:val="30"/>
          <w:szCs w:val="30"/>
        </w:rPr>
        <w:t>三、工作重点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一是中心工作要取得新进展。把思想和行动统一到县委、县政府对经济发展的分析决策上来，统一到科学发展的要求上来，以稳增长、调结构、攻重点、抓改革、惠民生、优环境为着力点，围绕产业升级、项目建设、农业现代化、文化建设、两个环境建设等重点工作，进一步加大协调和服务力度，及时解决工作进展中遇到的困难和问题，确保各项工作落到实处。</w:t>
      </w:r>
    </w:p>
    <w:p>
      <w:pPr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二是参谋助手作用要发挥新水平。进一步强化服务意识，努力实现由单一性服务向全方位服务转变，一般化服务向深层次服务转变。深化信息服务，提高信息报送质量，准确把握国策、县情、民意，及时反映重要情况、先进做法和成功经验，做到灵敏捕捉，及时报送；针对经济社会发展中的突出矛盾和深层次问题，有针对性的开展调查研究，为领导决策提供科学依据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（二）专项资金和具体预算支出项目的预期绩效目标完成情况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本年年初项目9个，</w:t>
      </w:r>
      <w:r>
        <w:rPr>
          <w:rFonts w:ascii="仿宋" w:hAnsi="仿宋" w:eastAsia="仿宋"/>
          <w:sz w:val="30"/>
          <w:szCs w:val="30"/>
        </w:rPr>
        <w:t>主要用于高阳县</w:t>
      </w:r>
      <w:r>
        <w:rPr>
          <w:rFonts w:hint="eastAsia" w:ascii="仿宋" w:hAnsi="仿宋" w:eastAsia="仿宋"/>
          <w:sz w:val="30"/>
          <w:szCs w:val="30"/>
        </w:rPr>
        <w:t>政府办网络光纤租用费（24.6万元），广告牌租赁费（20.0万元），人防专项经费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8.79</w:t>
      </w:r>
      <w:r>
        <w:rPr>
          <w:rFonts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</w:rPr>
        <w:t>高阳县公务用车服务平台车辆经费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33.93</w:t>
      </w:r>
      <w:r>
        <w:rPr>
          <w:rFonts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</w:rPr>
        <w:t>政府办OA办公系统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25.82</w:t>
      </w:r>
      <w:r>
        <w:rPr>
          <w:rFonts w:ascii="仿宋" w:hAnsi="仿宋" w:eastAsia="仿宋"/>
          <w:sz w:val="30"/>
          <w:szCs w:val="30"/>
        </w:rPr>
        <w:t>万元）</w:t>
      </w:r>
      <w:r>
        <w:rPr>
          <w:rFonts w:hint="eastAsia" w:ascii="仿宋" w:hAnsi="仿宋" w:eastAsia="仿宋"/>
          <w:sz w:val="30"/>
          <w:szCs w:val="30"/>
        </w:rPr>
        <w:t>，政府办招商引资（14.97万元），金融工作（10.00万元），地方志工作（8.59万元）</w:t>
      </w:r>
      <w:r>
        <w:rPr>
          <w:rFonts w:ascii="仿宋" w:hAnsi="仿宋" w:eastAsia="仿宋"/>
          <w:sz w:val="30"/>
          <w:szCs w:val="30"/>
        </w:rPr>
        <w:t>以及</w:t>
      </w:r>
      <w:r>
        <w:rPr>
          <w:rFonts w:hint="eastAsia" w:ascii="仿宋" w:hAnsi="仿宋" w:eastAsia="仿宋"/>
          <w:sz w:val="30"/>
          <w:szCs w:val="30"/>
        </w:rPr>
        <w:t>治超工作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4.95</w:t>
      </w:r>
      <w:r>
        <w:rPr>
          <w:rFonts w:ascii="仿宋" w:hAnsi="仿宋" w:eastAsia="仿宋"/>
          <w:sz w:val="30"/>
          <w:szCs w:val="30"/>
        </w:rPr>
        <w:t>万元）。</w:t>
      </w:r>
      <w:r>
        <w:rPr>
          <w:rFonts w:hint="eastAsia" w:ascii="仿宋" w:hAnsi="仿宋" w:eastAsia="仿宋"/>
          <w:sz w:val="30"/>
          <w:szCs w:val="30"/>
        </w:rPr>
        <w:t>全部拨付到位，并严格按照支出内容支出。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（三）存在问题及评价结论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过自查自评，财务开支中存在科目不明晰、项目支出科目有待细化、项目支出进度未按照年初预算进行等问题。绩效自评工作领导小组认为，各项目绩效目标总体按照预算较好完成，但是存在支出科目不明晰、支出进度不规范等问题，需要在今后工作中认真加以改进。</w:t>
      </w:r>
    </w:p>
    <w:p>
      <w:pPr>
        <w:spacing w:line="560" w:lineRule="exact"/>
        <w:ind w:firstLine="803" w:firstLineChars="2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三、绩效目标设定质量情况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一是项目资金申请、支出后置，对项目如期完成造成一定影响。因此，今后设定年初项目时，应通盘考虑全年工作，争取与财政部门沟通协调，把所有项目列入预算内。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二是项目设置不够精细。设定执行进度时，未考虑到工作安排以及工作实际，导致项目实际进度与年初预算差距较大，影响项目绩效完成。</w:t>
      </w:r>
    </w:p>
    <w:p>
      <w:pPr>
        <w:spacing w:line="560" w:lineRule="exact"/>
        <w:ind w:firstLine="803" w:firstLineChars="2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四、整改措施及结果应用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针对绩效自评中发现问题，办公室绩效自评工作领导小组提出：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一要进一步建立健全财务制度，加强财务管理，确保财务工作依法依规、科学规范、公开透明。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二要进一步加强预算编制管理。通过调研，科学谋划全年工作，合理确定年初项目。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三要合理确定、细化项目绩效目标，确保项目绩效设定科学合理，易于执行。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四要通盘考虑工作实际，确保项目资金到位、支出以及进度按照项目绩效预期进行。</w:t>
      </w:r>
    </w:p>
    <w:p>
      <w:pPr>
        <w:snapToGrid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针对自评结果，进一步完善相关财务制度以及绩效自评相关实施细则，杜绝类似本次自评工作中出现的问题，促进预算设定、执行更加科学，促进我单位财务工作更加规范。</w:t>
      </w:r>
    </w:p>
    <w:p>
      <w:pPr>
        <w:snapToGrid w:val="0"/>
        <w:spacing w:line="500" w:lineRule="atLeast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41853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B12"/>
    <w:rsid w:val="00005BCF"/>
    <w:rsid w:val="000C01D0"/>
    <w:rsid w:val="0018500C"/>
    <w:rsid w:val="001B3AC5"/>
    <w:rsid w:val="002207EE"/>
    <w:rsid w:val="00240B12"/>
    <w:rsid w:val="00244D34"/>
    <w:rsid w:val="00293B90"/>
    <w:rsid w:val="00443C73"/>
    <w:rsid w:val="00450848"/>
    <w:rsid w:val="004D7082"/>
    <w:rsid w:val="005408D3"/>
    <w:rsid w:val="00695CF5"/>
    <w:rsid w:val="008247EC"/>
    <w:rsid w:val="00943387"/>
    <w:rsid w:val="00976D97"/>
    <w:rsid w:val="00AA5EFC"/>
    <w:rsid w:val="00BF7DB0"/>
    <w:rsid w:val="00C464AB"/>
    <w:rsid w:val="00D92608"/>
    <w:rsid w:val="00DB4F49"/>
    <w:rsid w:val="00DD3FBA"/>
    <w:rsid w:val="00F05CC4"/>
    <w:rsid w:val="00FA0684"/>
    <w:rsid w:val="00FB153E"/>
    <w:rsid w:val="00FC3A0B"/>
    <w:rsid w:val="00FD74B5"/>
    <w:rsid w:val="32B5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378</Words>
  <Characters>2161</Characters>
  <Lines>18</Lines>
  <Paragraphs>5</Paragraphs>
  <TotalTime>40</TotalTime>
  <ScaleCrop>false</ScaleCrop>
  <LinksUpToDate>false</LinksUpToDate>
  <CharactersWithSpaces>2534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2021-11-24T06:47:00Z</dcterms:created>
  <dc:creator>xb21cn</dc:creator>
  <cp:lastModifiedBy>Administratorgy0312</cp:lastModifiedBy>
  <dcterms:modified xsi:type="dcterms:W3CDTF">2023-05-26T02:25:43Z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