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keepNext w:val="0"/>
        <w:keepLines w:val="0"/>
        <w:pageBreakBefore w:val="0"/>
        <w:widowControl w:val="0"/>
        <w:kinsoku/>
        <w:wordWrap/>
        <w:overflowPunct/>
        <w:topLinePunct w:val="0"/>
        <w:autoSpaceDE w:val="0"/>
        <w:autoSpaceDN/>
        <w:bidi w:val="0"/>
        <w:adjustRightInd/>
        <w:snapToGrid/>
        <w:spacing w:line="560" w:lineRule="exact"/>
        <w:ind w:firstLine="880" w:firstLineChars="200"/>
        <w:jc w:val="both"/>
        <w:textAlignment w:val="auto"/>
        <w:rPr>
          <w:rFonts w:hint="eastAsia" w:ascii="方正小标宋简体" w:hAnsi="方正小标宋简体" w:eastAsia="方正小标宋简体" w:cs="方正小标宋简体"/>
          <w:sz w:val="44"/>
          <w:szCs w:val="44"/>
          <w:lang w:eastAsia="zh-CN"/>
        </w:rPr>
      </w:pPr>
      <w:bookmarkStart w:id="3" w:name="_GoBack"/>
      <w:bookmarkEnd w:id="3"/>
      <w:r>
        <w:rPr>
          <w:rFonts w:hint="eastAsia" w:ascii="方正小标宋简体" w:hAnsi="方正小标宋简体" w:eastAsia="方正小标宋简体" w:cs="方正小标宋简体"/>
          <w:sz w:val="44"/>
          <w:szCs w:val="44"/>
        </w:rPr>
        <w:t>高阳经济开发区招商引资政策</w:t>
      </w:r>
      <w:r>
        <w:rPr>
          <w:rFonts w:hint="eastAsia" w:ascii="方正小标宋简体" w:hAnsi="方正小标宋简体" w:eastAsia="方正小标宋简体" w:cs="方正小标宋简体"/>
          <w:sz w:val="44"/>
          <w:szCs w:val="44"/>
          <w:lang w:eastAsia="zh-CN"/>
        </w:rPr>
        <w:t>（试行）</w:t>
      </w:r>
    </w:p>
    <w:p>
      <w:pPr>
        <w:keepNext w:val="0"/>
        <w:keepLines w:val="0"/>
        <w:pageBreakBefore w:val="0"/>
        <w:widowControl w:val="0"/>
        <w:kinsoku/>
        <w:wordWrap/>
        <w:overflowPunct/>
        <w:topLinePunct w:val="0"/>
        <w:autoSpaceDE w:val="0"/>
        <w:autoSpaceDN/>
        <w:bidi w:val="0"/>
        <w:adjustRightInd/>
        <w:snapToGrid/>
        <w:spacing w:line="560" w:lineRule="exact"/>
        <w:ind w:firstLine="640"/>
        <w:textAlignment w:val="auto"/>
        <w:rPr>
          <w:rFonts w:ascii="仿宋" w:hAnsi="仿宋" w:eastAsia="仿宋"/>
          <w:sz w:val="32"/>
          <w:szCs w:val="32"/>
        </w:rPr>
      </w:pPr>
    </w:p>
    <w:p>
      <w:pPr>
        <w:keepNext w:val="0"/>
        <w:keepLines w:val="0"/>
        <w:pageBreakBefore w:val="0"/>
        <w:widowControl w:val="0"/>
        <w:kinsoku/>
        <w:wordWrap/>
        <w:overflowPunct/>
        <w:topLinePunct w:val="0"/>
        <w:autoSpaceDE w:val="0"/>
        <w:autoSpaceDN/>
        <w:bidi w:val="0"/>
        <w:adjustRightInd/>
        <w:snapToGrid/>
        <w:spacing w:line="560" w:lineRule="exact"/>
        <w:ind w:firstLine="640"/>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根据《关于深化开发区改革开放的实施意见》</w:t>
      </w:r>
      <w:bookmarkStart w:id="0" w:name="_Hlk88551171"/>
      <w:r>
        <w:rPr>
          <w:rFonts w:hint="eastAsia" w:ascii="仿宋_GB2312" w:hAnsi="仿宋_GB2312" w:eastAsia="仿宋_GB2312" w:cs="仿宋_GB2312"/>
          <w:sz w:val="32"/>
          <w:szCs w:val="32"/>
        </w:rPr>
        <w:t>（冀字[2019]8号）、《关于加快开发区创新发展提升能级的若干措施》（冀办 [2021]9号）、《关于推动招商引资工作高质量发展的若干措施》</w:t>
      </w:r>
      <w:bookmarkEnd w:id="0"/>
      <w:r>
        <w:rPr>
          <w:rFonts w:hint="eastAsia" w:ascii="仿宋_GB2312" w:hAnsi="仿宋_GB2312" w:eastAsia="仿宋_GB2312" w:cs="仿宋_GB2312"/>
          <w:sz w:val="32"/>
          <w:szCs w:val="32"/>
        </w:rPr>
        <w:t>（冀办传[2021]35号）等文件精神和国家、省、市有关政策规定，为进一步扩大对外开放，优化营商环境，打造投资高地、政策洼地、创业福地，鼓励和吸引外来企业到高阳经济开发区投资兴业和本地企业扩大产能，推动高阳产业转型升级，特制定本政策。</w:t>
      </w:r>
    </w:p>
    <w:p>
      <w:pPr>
        <w:keepNext w:val="0"/>
        <w:keepLines w:val="0"/>
        <w:pageBreakBefore w:val="0"/>
        <w:widowControl w:val="0"/>
        <w:kinsoku/>
        <w:wordWrap/>
        <w:overflowPunct/>
        <w:topLinePunct w:val="0"/>
        <w:autoSpaceDE w:val="0"/>
        <w:autoSpaceDN/>
        <w:bidi w:val="0"/>
        <w:adjustRightInd/>
        <w:snapToGrid/>
        <w:spacing w:line="560" w:lineRule="exact"/>
        <w:ind w:firstLine="640"/>
        <w:textAlignment w:val="auto"/>
        <w:rPr>
          <w:rFonts w:ascii="黑体" w:hAnsi="黑体" w:eastAsia="黑体"/>
          <w:sz w:val="32"/>
          <w:szCs w:val="32"/>
        </w:rPr>
      </w:pPr>
      <w:r>
        <w:rPr>
          <w:rFonts w:hint="eastAsia" w:ascii="黑体" w:hAnsi="黑体" w:eastAsia="黑体"/>
          <w:sz w:val="32"/>
          <w:szCs w:val="32"/>
        </w:rPr>
        <w:t>一、适用范围</w:t>
      </w:r>
    </w:p>
    <w:p>
      <w:pPr>
        <w:keepNext w:val="0"/>
        <w:keepLines w:val="0"/>
        <w:pageBreakBefore w:val="0"/>
        <w:widowControl w:val="0"/>
        <w:kinsoku/>
        <w:wordWrap/>
        <w:overflowPunct/>
        <w:topLinePunct w:val="0"/>
        <w:autoSpaceDE w:val="0"/>
        <w:autoSpaceDN/>
        <w:bidi w:val="0"/>
        <w:adjustRightInd/>
        <w:snapToGrid/>
        <w:spacing w:line="560" w:lineRule="exact"/>
        <w:ind w:firstLine="643"/>
        <w:textAlignment w:val="auto"/>
        <w:rPr>
          <w:rFonts w:hint="eastAsia" w:ascii="仿宋_GB2312" w:hAnsi="仿宋_GB2312" w:eastAsia="仿宋_GB2312" w:cs="仿宋_GB2312"/>
          <w:sz w:val="32"/>
          <w:szCs w:val="32"/>
        </w:rPr>
      </w:pPr>
      <w:r>
        <w:rPr>
          <w:rFonts w:hint="eastAsia" w:ascii="仿宋_GB2312" w:hAnsi="仿宋_GB2312" w:eastAsia="仿宋_GB2312" w:cs="仿宋_GB2312"/>
          <w:b/>
          <w:bCs/>
          <w:sz w:val="32"/>
          <w:szCs w:val="32"/>
        </w:rPr>
        <w:t>第一条</w:t>
      </w:r>
      <w:r>
        <w:rPr>
          <w:rFonts w:hint="eastAsia" w:ascii="仿宋_GB2312" w:hAnsi="仿宋_GB2312" w:eastAsia="仿宋_GB2312" w:cs="仿宋_GB2312"/>
          <w:sz w:val="32"/>
          <w:szCs w:val="32"/>
        </w:rPr>
        <w:t xml:space="preserve"> 本招商引资政策适用于符合高阳经济开发区产业发展定位的传统产业升级改造项目、延展产业链条项目、</w:t>
      </w:r>
      <w:r>
        <w:rPr>
          <w:rFonts w:hint="eastAsia" w:ascii="仿宋_GB2312" w:hAnsi="仿宋_GB2312" w:eastAsia="仿宋_GB2312" w:cs="仿宋_GB2312"/>
          <w:sz w:val="32"/>
          <w:szCs w:val="32"/>
          <w:lang w:eastAsia="zh-CN"/>
        </w:rPr>
        <w:t>关键</w:t>
      </w:r>
      <w:r>
        <w:rPr>
          <w:rFonts w:hint="eastAsia" w:ascii="仿宋_GB2312" w:hAnsi="仿宋_GB2312" w:eastAsia="仿宋_GB2312" w:cs="仿宋_GB2312"/>
          <w:sz w:val="32"/>
          <w:szCs w:val="32"/>
        </w:rPr>
        <w:t>环节补链项目、</w:t>
      </w:r>
      <w:r>
        <w:rPr>
          <w:rFonts w:hint="eastAsia" w:ascii="仿宋_GB2312" w:hAnsi="仿宋_GB2312" w:eastAsia="仿宋_GB2312" w:cs="仿宋_GB2312"/>
          <w:sz w:val="32"/>
          <w:szCs w:val="32"/>
          <w:lang w:eastAsia="zh-CN"/>
        </w:rPr>
        <w:t>战略性新兴产业</w:t>
      </w:r>
      <w:r>
        <w:rPr>
          <w:rFonts w:hint="eastAsia" w:ascii="仿宋_GB2312" w:hAnsi="仿宋_GB2312" w:eastAsia="仿宋_GB2312" w:cs="仿宋_GB2312"/>
          <w:sz w:val="32"/>
          <w:szCs w:val="32"/>
        </w:rPr>
        <w:t>投资项目、生产性服务业项目及专业化区中园建设项目（不含“一事一议”项目）。</w:t>
      </w:r>
    </w:p>
    <w:p>
      <w:pPr>
        <w:keepNext w:val="0"/>
        <w:keepLines w:val="0"/>
        <w:pageBreakBefore w:val="0"/>
        <w:widowControl w:val="0"/>
        <w:kinsoku/>
        <w:wordWrap/>
        <w:overflowPunct/>
        <w:topLinePunct w:val="0"/>
        <w:autoSpaceDE w:val="0"/>
        <w:autoSpaceDN/>
        <w:bidi w:val="0"/>
        <w:adjustRightInd/>
        <w:snapToGrid/>
        <w:spacing w:line="560" w:lineRule="exact"/>
        <w:ind w:firstLine="643"/>
        <w:textAlignment w:val="auto"/>
        <w:rPr>
          <w:rFonts w:hint="eastAsia" w:ascii="仿宋_GB2312" w:hAnsi="仿宋_GB2312" w:eastAsia="仿宋_GB2312" w:cs="仿宋_GB2312"/>
          <w:sz w:val="32"/>
          <w:szCs w:val="32"/>
        </w:rPr>
      </w:pPr>
      <w:r>
        <w:rPr>
          <w:rFonts w:hint="eastAsia" w:ascii="仿宋_GB2312" w:hAnsi="仿宋_GB2312" w:eastAsia="仿宋_GB2312" w:cs="仿宋_GB2312"/>
          <w:b/>
          <w:bCs/>
          <w:sz w:val="32"/>
          <w:szCs w:val="32"/>
        </w:rPr>
        <w:t>第二条</w:t>
      </w:r>
      <w:r>
        <w:rPr>
          <w:rFonts w:hint="eastAsia" w:ascii="仿宋_GB2312" w:hAnsi="仿宋_GB2312" w:eastAsia="仿宋_GB2312" w:cs="仿宋_GB2312"/>
          <w:sz w:val="32"/>
          <w:szCs w:val="32"/>
        </w:rPr>
        <w:t xml:space="preserve"> 设立高阳经济开发区产业发展扶持资金，用于激励和扶持投资项目、企业、园区专业运营机构和项目引荐人。</w:t>
      </w:r>
    </w:p>
    <w:p>
      <w:pPr>
        <w:keepNext w:val="0"/>
        <w:keepLines w:val="0"/>
        <w:pageBreakBefore w:val="0"/>
        <w:widowControl w:val="0"/>
        <w:kinsoku/>
        <w:wordWrap/>
        <w:overflowPunct/>
        <w:topLinePunct w:val="0"/>
        <w:autoSpaceDE w:val="0"/>
        <w:autoSpaceDN/>
        <w:bidi w:val="0"/>
        <w:adjustRightInd/>
        <w:snapToGrid/>
        <w:spacing w:line="560" w:lineRule="exact"/>
        <w:ind w:firstLine="643"/>
        <w:textAlignment w:val="auto"/>
        <w:rPr>
          <w:rFonts w:hint="eastAsia" w:ascii="仿宋_GB2312" w:hAnsi="仿宋_GB2312" w:eastAsia="仿宋_GB2312" w:cs="仿宋_GB2312"/>
          <w:sz w:val="32"/>
          <w:szCs w:val="32"/>
        </w:rPr>
      </w:pPr>
      <w:r>
        <w:rPr>
          <w:rFonts w:hint="eastAsia" w:ascii="仿宋_GB2312" w:hAnsi="仿宋_GB2312" w:eastAsia="仿宋_GB2312" w:cs="仿宋_GB2312"/>
          <w:b/>
          <w:bCs/>
          <w:sz w:val="32"/>
          <w:szCs w:val="32"/>
        </w:rPr>
        <w:t>第三条</w:t>
      </w:r>
      <w:r>
        <w:rPr>
          <w:rFonts w:hint="eastAsia" w:ascii="仿宋_GB2312" w:hAnsi="仿宋_GB2312" w:eastAsia="仿宋_GB2312" w:cs="仿宋_GB2312"/>
          <w:sz w:val="32"/>
          <w:szCs w:val="32"/>
        </w:rPr>
        <w:t xml:space="preserve"> 资金、设备等生产要素，同属于本招商引资政策的范围。</w:t>
      </w:r>
    </w:p>
    <w:p>
      <w:pPr>
        <w:keepNext w:val="0"/>
        <w:keepLines w:val="0"/>
        <w:pageBreakBefore w:val="0"/>
        <w:widowControl w:val="0"/>
        <w:kinsoku/>
        <w:wordWrap/>
        <w:overflowPunct/>
        <w:topLinePunct w:val="0"/>
        <w:autoSpaceDE w:val="0"/>
        <w:autoSpaceDN/>
        <w:bidi w:val="0"/>
        <w:adjustRightInd/>
        <w:snapToGrid/>
        <w:spacing w:line="560" w:lineRule="exact"/>
        <w:ind w:firstLine="640"/>
        <w:textAlignment w:val="auto"/>
        <w:rPr>
          <w:rFonts w:ascii="黑体" w:hAnsi="黑体" w:eastAsia="黑体"/>
          <w:sz w:val="32"/>
          <w:szCs w:val="32"/>
        </w:rPr>
      </w:pPr>
      <w:r>
        <w:rPr>
          <w:rFonts w:hint="eastAsia" w:ascii="黑体" w:hAnsi="黑体" w:eastAsia="黑体"/>
          <w:sz w:val="32"/>
          <w:szCs w:val="32"/>
        </w:rPr>
        <w:t>二、投资促进政策</w:t>
      </w:r>
    </w:p>
    <w:p>
      <w:pPr>
        <w:keepNext w:val="0"/>
        <w:keepLines w:val="0"/>
        <w:pageBreakBefore w:val="0"/>
        <w:widowControl w:val="0"/>
        <w:kinsoku/>
        <w:wordWrap/>
        <w:overflowPunct/>
        <w:topLinePunct w:val="0"/>
        <w:autoSpaceDE w:val="0"/>
        <w:autoSpaceDN/>
        <w:bidi w:val="0"/>
        <w:adjustRightInd/>
        <w:snapToGrid/>
        <w:spacing w:line="560" w:lineRule="exact"/>
        <w:ind w:firstLine="643"/>
        <w:textAlignment w:val="auto"/>
        <w:rPr>
          <w:rFonts w:hint="eastAsia" w:ascii="仿宋_GB2312" w:hAnsi="仿宋_GB2312" w:eastAsia="仿宋_GB2312" w:cs="仿宋_GB2312"/>
          <w:sz w:val="32"/>
          <w:szCs w:val="32"/>
        </w:rPr>
      </w:pPr>
      <w:r>
        <w:rPr>
          <w:rFonts w:hint="eastAsia" w:ascii="仿宋_GB2312" w:hAnsi="仿宋_GB2312" w:eastAsia="仿宋_GB2312" w:cs="仿宋_GB2312"/>
          <w:b/>
          <w:bCs/>
          <w:sz w:val="32"/>
          <w:szCs w:val="32"/>
        </w:rPr>
        <w:t>第四条</w:t>
      </w:r>
      <w:r>
        <w:rPr>
          <w:rFonts w:hint="eastAsia" w:ascii="仿宋_GB2312" w:hAnsi="仿宋_GB2312" w:eastAsia="仿宋_GB2312" w:cs="仿宋_GB2312"/>
          <w:sz w:val="32"/>
          <w:szCs w:val="32"/>
        </w:rPr>
        <w:t xml:space="preserve"> 2017年1月1日—2020年12月31日新供工业建设用地项目，项目投产后</w:t>
      </w:r>
      <w:r>
        <w:rPr>
          <w:rFonts w:hint="eastAsia" w:ascii="仿宋_GB2312" w:hAnsi="仿宋_GB2312" w:eastAsia="仿宋_GB2312" w:cs="仿宋_GB2312"/>
          <w:sz w:val="32"/>
          <w:szCs w:val="32"/>
          <w:lang w:eastAsia="zh-CN"/>
        </w:rPr>
        <w:t>，</w:t>
      </w:r>
      <w:r>
        <w:rPr>
          <w:rFonts w:hint="eastAsia" w:ascii="仿宋_GB2312" w:hAnsi="仿宋_GB2312" w:eastAsia="仿宋_GB2312" w:cs="仿宋_GB2312"/>
          <w:sz w:val="32"/>
          <w:szCs w:val="32"/>
          <w:lang w:val="en-US" w:eastAsia="zh-CN"/>
        </w:rPr>
        <w:t>达到现行投资强度（250万/亩）要求的落实奖励</w:t>
      </w:r>
      <w:r>
        <w:rPr>
          <w:rFonts w:hint="eastAsia" w:ascii="仿宋_GB2312" w:hAnsi="仿宋_GB2312" w:eastAsia="仿宋_GB2312" w:cs="仿宋_GB2312"/>
          <w:sz w:val="32"/>
          <w:szCs w:val="32"/>
        </w:rPr>
        <w:t>。奖励标准：固定资产投资5000万元以上，参照该土地出让价款的30%进行奖励；固定资产投资1亿元以上，参照该土地出让价款的40%进行奖励；固定资产投资2亿元以上，参照该土地出让价款的50%进行奖励。</w:t>
      </w:r>
    </w:p>
    <w:p>
      <w:pPr>
        <w:keepNext w:val="0"/>
        <w:keepLines w:val="0"/>
        <w:pageBreakBefore w:val="0"/>
        <w:widowControl w:val="0"/>
        <w:kinsoku/>
        <w:wordWrap/>
        <w:overflowPunct/>
        <w:topLinePunct w:val="0"/>
        <w:autoSpaceDE w:val="0"/>
        <w:autoSpaceDN/>
        <w:bidi w:val="0"/>
        <w:adjustRightInd/>
        <w:snapToGrid/>
        <w:spacing w:line="560" w:lineRule="exact"/>
        <w:ind w:firstLine="643"/>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 xml:space="preserve"> 2021年1月1日以后本政策试行期内</w:t>
      </w:r>
      <w:bookmarkStart w:id="1" w:name="_Hlk89091961"/>
      <w:r>
        <w:rPr>
          <w:rFonts w:hint="eastAsia" w:ascii="仿宋_GB2312" w:hAnsi="仿宋_GB2312" w:eastAsia="仿宋_GB2312" w:cs="仿宋_GB2312"/>
          <w:sz w:val="32"/>
          <w:szCs w:val="32"/>
        </w:rPr>
        <w:t>新建项目</w:t>
      </w:r>
      <w:bookmarkEnd w:id="1"/>
      <w:r>
        <w:rPr>
          <w:rFonts w:hint="eastAsia" w:ascii="仿宋_GB2312" w:hAnsi="仿宋_GB2312" w:eastAsia="仿宋_GB2312" w:cs="仿宋_GB2312"/>
          <w:sz w:val="32"/>
          <w:szCs w:val="32"/>
        </w:rPr>
        <w:t>，</w:t>
      </w:r>
      <w:r>
        <w:rPr>
          <w:rFonts w:hint="eastAsia" w:ascii="仿宋_GB2312" w:hAnsi="仿宋_GB2312" w:eastAsia="仿宋_GB2312" w:cs="仿宋_GB2312"/>
          <w:sz w:val="32"/>
          <w:szCs w:val="32"/>
          <w:lang w:val="en-US" w:eastAsia="zh-CN"/>
        </w:rPr>
        <w:t>土地出让价款按成本地价执行</w:t>
      </w:r>
      <w:r>
        <w:rPr>
          <w:rFonts w:hint="eastAsia" w:ascii="仿宋_GB2312" w:hAnsi="仿宋_GB2312" w:eastAsia="仿宋_GB2312" w:cs="仿宋_GB2312"/>
          <w:sz w:val="32"/>
          <w:szCs w:val="32"/>
          <w:lang w:eastAsia="zh-CN"/>
        </w:rPr>
        <w:t>，</w:t>
      </w:r>
      <w:r>
        <w:rPr>
          <w:rFonts w:hint="eastAsia" w:ascii="仿宋_GB2312" w:hAnsi="仿宋_GB2312" w:eastAsia="仿宋_GB2312" w:cs="仿宋_GB2312"/>
          <w:sz w:val="32"/>
          <w:szCs w:val="32"/>
        </w:rPr>
        <w:t>按照入驻协议及土地出让合同约定时间开工、竣工，项目竣工后，当年落实投资促进奖励。奖励标准：固定资产投资5000万元以上，参照该土地出让价款的10%进行奖励；固定资产投资1亿元以上，参照该土地出让价款的20%进行奖励；固定资产投资3亿元以上，参照该土地出让价款的30%进行奖励；固定资产投资5亿元以上，参照该土地出让价款的40%进行奖励。</w:t>
      </w:r>
    </w:p>
    <w:p>
      <w:pPr>
        <w:keepNext w:val="0"/>
        <w:keepLines w:val="0"/>
        <w:pageBreakBefore w:val="0"/>
        <w:widowControl w:val="0"/>
        <w:kinsoku/>
        <w:wordWrap/>
        <w:overflowPunct/>
        <w:topLinePunct w:val="0"/>
        <w:autoSpaceDE w:val="0"/>
        <w:autoSpaceDN/>
        <w:bidi w:val="0"/>
        <w:adjustRightInd/>
        <w:snapToGrid/>
        <w:spacing w:line="560" w:lineRule="exact"/>
        <w:ind w:firstLine="643"/>
        <w:textAlignment w:val="auto"/>
        <w:rPr>
          <w:rFonts w:hint="eastAsia" w:ascii="仿宋_GB2312" w:hAnsi="仿宋_GB2312" w:eastAsia="仿宋_GB2312" w:cs="仿宋_GB2312"/>
          <w:sz w:val="32"/>
          <w:szCs w:val="32"/>
        </w:rPr>
      </w:pPr>
      <w:r>
        <w:rPr>
          <w:rFonts w:hint="eastAsia" w:ascii="仿宋_GB2312" w:hAnsi="仿宋_GB2312" w:eastAsia="仿宋_GB2312" w:cs="仿宋_GB2312"/>
          <w:b/>
          <w:bCs/>
          <w:sz w:val="32"/>
          <w:szCs w:val="32"/>
        </w:rPr>
        <w:t>第五条</w:t>
      </w:r>
      <w:r>
        <w:rPr>
          <w:rFonts w:hint="eastAsia" w:ascii="仿宋_GB2312" w:hAnsi="仿宋_GB2312" w:eastAsia="仿宋_GB2312" w:cs="仿宋_GB2312"/>
          <w:sz w:val="32"/>
          <w:szCs w:val="32"/>
        </w:rPr>
        <w:t xml:space="preserve"> 新建项目按照入驻协议及土地出让合同约定时间开工、竣工，建成投入运营三年内每亩每年纳税20万元以上的，根据固定资产投资总额按不同比例予以奖励，其中固定资产投资1—3亿元 的，按固定资产投资总额的3%一次性奖励给企业；固定资产投资3—5亿元的，按固定资产投资总额的5%一次性奖励给企业；固定资产投资5—10亿元的，按固定资产投资总额的7%一次性奖励给企业；固定资产投资10亿元以上的，按固定资产投资总额的9%一次性奖励给企业。最高奖励不超过一亿元。</w:t>
      </w:r>
    </w:p>
    <w:p>
      <w:pPr>
        <w:keepNext w:val="0"/>
        <w:keepLines w:val="0"/>
        <w:pageBreakBefore w:val="0"/>
        <w:widowControl w:val="0"/>
        <w:kinsoku/>
        <w:wordWrap/>
        <w:overflowPunct/>
        <w:topLinePunct w:val="0"/>
        <w:autoSpaceDE w:val="0"/>
        <w:autoSpaceDN/>
        <w:bidi w:val="0"/>
        <w:adjustRightInd/>
        <w:snapToGrid/>
        <w:spacing w:line="560" w:lineRule="exact"/>
        <w:ind w:firstLine="643"/>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以上第四、五条所述固定资产投资包括基建、设备投资和土地价款。</w:t>
      </w:r>
    </w:p>
    <w:p>
      <w:pPr>
        <w:keepNext w:val="0"/>
        <w:keepLines w:val="0"/>
        <w:pageBreakBefore w:val="0"/>
        <w:widowControl w:val="0"/>
        <w:kinsoku/>
        <w:wordWrap/>
        <w:overflowPunct/>
        <w:topLinePunct w:val="0"/>
        <w:autoSpaceDE w:val="0"/>
        <w:autoSpaceDN/>
        <w:bidi w:val="0"/>
        <w:adjustRightInd/>
        <w:snapToGrid/>
        <w:spacing w:line="560" w:lineRule="exact"/>
        <w:ind w:firstLine="643"/>
        <w:textAlignment w:val="auto"/>
        <w:rPr>
          <w:rFonts w:hint="eastAsia" w:ascii="仿宋_GB2312" w:hAnsi="仿宋_GB2312" w:eastAsia="仿宋_GB2312" w:cs="仿宋_GB2312"/>
          <w:sz w:val="32"/>
          <w:szCs w:val="32"/>
        </w:rPr>
      </w:pPr>
      <w:r>
        <w:rPr>
          <w:rFonts w:hint="eastAsia" w:ascii="仿宋_GB2312" w:hAnsi="仿宋_GB2312" w:eastAsia="仿宋_GB2312" w:cs="仿宋_GB2312"/>
          <w:b/>
          <w:bCs/>
          <w:sz w:val="32"/>
          <w:szCs w:val="32"/>
        </w:rPr>
        <w:t>第六条</w:t>
      </w:r>
      <w:r>
        <w:rPr>
          <w:rFonts w:hint="eastAsia" w:ascii="仿宋_GB2312" w:hAnsi="仿宋_GB2312" w:eastAsia="仿宋_GB2312" w:cs="仿宋_GB2312"/>
          <w:sz w:val="32"/>
          <w:szCs w:val="32"/>
        </w:rPr>
        <w:t xml:space="preserve"> 引进企业为世界500强的一次性奖励200万元，为国内500强的一次性奖励100万元，为国内行业前10名的一次性奖励50万元，同一企业取最高奖励，只享受一次奖励政策。（权威机构排名）</w:t>
      </w:r>
    </w:p>
    <w:p>
      <w:pPr>
        <w:keepNext w:val="0"/>
        <w:keepLines w:val="0"/>
        <w:pageBreakBefore w:val="0"/>
        <w:widowControl w:val="0"/>
        <w:kinsoku/>
        <w:wordWrap/>
        <w:overflowPunct/>
        <w:topLinePunct w:val="0"/>
        <w:autoSpaceDE w:val="0"/>
        <w:autoSpaceDN/>
        <w:bidi w:val="0"/>
        <w:adjustRightInd/>
        <w:snapToGrid/>
        <w:spacing w:line="560" w:lineRule="exact"/>
        <w:ind w:firstLine="643"/>
        <w:textAlignment w:val="auto"/>
        <w:rPr>
          <w:rFonts w:hint="eastAsia" w:ascii="仿宋_GB2312" w:hAnsi="仿宋_GB2312" w:eastAsia="仿宋_GB2312" w:cs="仿宋_GB2312"/>
          <w:sz w:val="32"/>
          <w:szCs w:val="32"/>
        </w:rPr>
      </w:pPr>
      <w:r>
        <w:rPr>
          <w:rFonts w:hint="eastAsia" w:ascii="仿宋_GB2312" w:hAnsi="仿宋_GB2312" w:eastAsia="仿宋_GB2312" w:cs="仿宋_GB2312"/>
          <w:b/>
          <w:bCs/>
          <w:sz w:val="32"/>
          <w:szCs w:val="32"/>
        </w:rPr>
        <w:t>第七条</w:t>
      </w:r>
      <w:r>
        <w:rPr>
          <w:rFonts w:hint="eastAsia" w:ascii="仿宋_GB2312" w:hAnsi="仿宋_GB2312" w:eastAsia="仿宋_GB2312" w:cs="仿宋_GB2312"/>
          <w:sz w:val="32"/>
          <w:szCs w:val="32"/>
        </w:rPr>
        <w:t xml:space="preserve"> 固定资产投资10亿元以上的项目、产业龙头项目、世界500强、国内500强企业、境外投资项目、上市公司总部搬迁至高阳或选择高阳为IPO注册地的项目，可实行“一事一议”。</w:t>
      </w:r>
    </w:p>
    <w:p>
      <w:pPr>
        <w:keepNext w:val="0"/>
        <w:keepLines w:val="0"/>
        <w:pageBreakBefore w:val="0"/>
        <w:widowControl w:val="0"/>
        <w:kinsoku/>
        <w:wordWrap/>
        <w:overflowPunct/>
        <w:topLinePunct w:val="0"/>
        <w:autoSpaceDE w:val="0"/>
        <w:autoSpaceDN/>
        <w:bidi w:val="0"/>
        <w:adjustRightInd/>
        <w:snapToGrid/>
        <w:spacing w:line="560" w:lineRule="exact"/>
        <w:ind w:firstLine="643"/>
        <w:textAlignment w:val="auto"/>
        <w:rPr>
          <w:rFonts w:hint="eastAsia" w:ascii="仿宋_GB2312" w:hAnsi="仿宋_GB2312" w:eastAsia="仿宋_GB2312" w:cs="仿宋_GB2312"/>
          <w:sz w:val="32"/>
          <w:szCs w:val="32"/>
        </w:rPr>
      </w:pPr>
      <w:r>
        <w:rPr>
          <w:rFonts w:hint="eastAsia" w:ascii="仿宋_GB2312" w:hAnsi="仿宋_GB2312" w:eastAsia="仿宋_GB2312" w:cs="仿宋_GB2312"/>
          <w:b/>
          <w:bCs/>
          <w:sz w:val="32"/>
          <w:szCs w:val="32"/>
        </w:rPr>
        <w:t>第八条</w:t>
      </w:r>
      <w:r>
        <w:rPr>
          <w:rFonts w:hint="eastAsia" w:ascii="仿宋_GB2312" w:hAnsi="仿宋_GB2312" w:eastAsia="仿宋_GB2312" w:cs="仿宋_GB2312"/>
          <w:sz w:val="32"/>
          <w:szCs w:val="32"/>
        </w:rPr>
        <w:t xml:space="preserve"> 鼓励实施产业链招商，对入区项目一并引进的投资2000万元以上的产业配套项目享受同等投资促进政策。</w:t>
      </w:r>
    </w:p>
    <w:p>
      <w:pPr>
        <w:keepNext w:val="0"/>
        <w:keepLines w:val="0"/>
        <w:pageBreakBefore w:val="0"/>
        <w:widowControl w:val="0"/>
        <w:kinsoku/>
        <w:wordWrap/>
        <w:overflowPunct/>
        <w:topLinePunct w:val="0"/>
        <w:autoSpaceDE w:val="0"/>
        <w:autoSpaceDN/>
        <w:bidi w:val="0"/>
        <w:adjustRightInd/>
        <w:snapToGrid/>
        <w:spacing w:line="560" w:lineRule="exact"/>
        <w:ind w:firstLine="643"/>
        <w:textAlignment w:val="auto"/>
        <w:rPr>
          <w:rFonts w:hint="eastAsia" w:ascii="仿宋_GB2312" w:hAnsi="仿宋_GB2312" w:eastAsia="仿宋_GB2312" w:cs="仿宋_GB2312"/>
          <w:sz w:val="32"/>
          <w:szCs w:val="32"/>
        </w:rPr>
      </w:pPr>
      <w:r>
        <w:rPr>
          <w:rFonts w:hint="eastAsia" w:ascii="仿宋_GB2312" w:hAnsi="仿宋_GB2312" w:eastAsia="仿宋_GB2312" w:cs="仿宋_GB2312"/>
          <w:b/>
          <w:bCs/>
          <w:sz w:val="32"/>
          <w:szCs w:val="32"/>
        </w:rPr>
        <w:t>第九条</w:t>
      </w:r>
      <w:r>
        <w:rPr>
          <w:rFonts w:hint="eastAsia" w:ascii="仿宋_GB2312" w:hAnsi="仿宋_GB2312" w:eastAsia="仿宋_GB2312" w:cs="仿宋_GB2312"/>
          <w:sz w:val="32"/>
          <w:szCs w:val="32"/>
        </w:rPr>
        <w:t xml:space="preserve"> 支持专业化园区建设和现有企业二次开发建设标准厂房或科技孵化器，在不改变功能和土地性质的前提下，可以自营、租赁经营、分割转让。</w:t>
      </w:r>
    </w:p>
    <w:p>
      <w:pPr>
        <w:keepNext w:val="0"/>
        <w:keepLines w:val="0"/>
        <w:pageBreakBefore w:val="0"/>
        <w:widowControl w:val="0"/>
        <w:kinsoku/>
        <w:wordWrap/>
        <w:overflowPunct/>
        <w:topLinePunct w:val="0"/>
        <w:autoSpaceDE w:val="0"/>
        <w:autoSpaceDN/>
        <w:bidi w:val="0"/>
        <w:adjustRightInd/>
        <w:snapToGrid/>
        <w:spacing w:line="560" w:lineRule="exact"/>
        <w:ind w:firstLine="640"/>
        <w:textAlignment w:val="auto"/>
        <w:rPr>
          <w:rFonts w:ascii="黑体" w:hAnsi="黑体" w:eastAsia="黑体"/>
          <w:sz w:val="32"/>
          <w:szCs w:val="32"/>
        </w:rPr>
      </w:pPr>
      <w:r>
        <w:rPr>
          <w:rFonts w:hint="eastAsia" w:ascii="黑体" w:hAnsi="黑体" w:eastAsia="黑体"/>
          <w:sz w:val="32"/>
          <w:szCs w:val="32"/>
        </w:rPr>
        <w:t>三、税收奖励政策</w:t>
      </w:r>
    </w:p>
    <w:p>
      <w:pPr>
        <w:keepNext w:val="0"/>
        <w:keepLines w:val="0"/>
        <w:pageBreakBefore w:val="0"/>
        <w:widowControl w:val="0"/>
        <w:kinsoku/>
        <w:wordWrap/>
        <w:overflowPunct/>
        <w:topLinePunct w:val="0"/>
        <w:autoSpaceDE w:val="0"/>
        <w:autoSpaceDN/>
        <w:bidi w:val="0"/>
        <w:adjustRightInd/>
        <w:snapToGrid/>
        <w:spacing w:line="560" w:lineRule="exact"/>
        <w:ind w:firstLine="643"/>
        <w:textAlignment w:val="auto"/>
        <w:rPr>
          <w:rFonts w:hint="eastAsia" w:ascii="仿宋_GB2312" w:hAnsi="仿宋_GB2312" w:eastAsia="仿宋_GB2312" w:cs="仿宋_GB2312"/>
          <w:sz w:val="32"/>
          <w:szCs w:val="32"/>
        </w:rPr>
      </w:pPr>
      <w:r>
        <w:rPr>
          <w:rFonts w:hint="eastAsia" w:ascii="仿宋_GB2312" w:hAnsi="仿宋_GB2312" w:eastAsia="仿宋_GB2312" w:cs="仿宋_GB2312"/>
          <w:b/>
          <w:bCs/>
          <w:sz w:val="32"/>
          <w:szCs w:val="32"/>
        </w:rPr>
        <w:t>第十条</w:t>
      </w:r>
      <w:r>
        <w:rPr>
          <w:rFonts w:hint="eastAsia" w:ascii="仿宋_GB2312" w:hAnsi="仿宋_GB2312" w:eastAsia="仿宋_GB2312" w:cs="仿宋_GB2312"/>
          <w:sz w:val="32"/>
          <w:szCs w:val="32"/>
        </w:rPr>
        <w:t xml:space="preserve"> 新建投资项目按照项目（含整体搬迁项目）入驻协议约定投产达效后，从约定年度起十年内，对符合政策年度按照标准落实奖励。</w:t>
      </w:r>
    </w:p>
    <w:p>
      <w:pPr>
        <w:keepNext w:val="0"/>
        <w:keepLines w:val="0"/>
        <w:pageBreakBefore w:val="0"/>
        <w:widowControl w:val="0"/>
        <w:kinsoku/>
        <w:wordWrap/>
        <w:overflowPunct/>
        <w:topLinePunct w:val="0"/>
        <w:autoSpaceDE w:val="0"/>
        <w:autoSpaceDN/>
        <w:bidi w:val="0"/>
        <w:adjustRightInd/>
        <w:snapToGrid/>
        <w:spacing w:line="560" w:lineRule="exact"/>
        <w:ind w:firstLine="643"/>
        <w:textAlignment w:val="auto"/>
        <w:rPr>
          <w:rFonts w:hint="eastAsia" w:ascii="仿宋_GB2312" w:hAnsi="仿宋_GB2312" w:eastAsia="仿宋_GB2312" w:cs="仿宋_GB2312"/>
          <w:sz w:val="32"/>
          <w:szCs w:val="32"/>
        </w:rPr>
      </w:pPr>
      <w:r>
        <w:rPr>
          <w:rFonts w:hint="eastAsia" w:ascii="仿宋_GB2312" w:hAnsi="仿宋_GB2312" w:eastAsia="仿宋_GB2312" w:cs="仿宋_GB2312"/>
          <w:b/>
          <w:bCs/>
          <w:sz w:val="32"/>
          <w:szCs w:val="32"/>
        </w:rPr>
        <w:t>第十一条</w:t>
      </w:r>
      <w:r>
        <w:rPr>
          <w:rFonts w:hint="eastAsia" w:ascii="仿宋_GB2312" w:hAnsi="仿宋_GB2312" w:eastAsia="仿宋_GB2312" w:cs="仿宋_GB2312"/>
          <w:sz w:val="32"/>
          <w:szCs w:val="32"/>
        </w:rPr>
        <w:t xml:space="preserve"> 奖励标准：每亩每年纳税20万元以上、年总纳税额不低于200万元的项目，按年总纳税额的5%予以奖励；每亩每年纳税30万元以上、年总纳税额不低于500万元的项目，按年总纳税额的8%予以奖励；每亩每年纳税50万元以上、年总纳税额不低于2000万元的项目，按年总纳税额的10%予以奖励。</w:t>
      </w:r>
    </w:p>
    <w:p>
      <w:pPr>
        <w:keepNext w:val="0"/>
        <w:keepLines w:val="0"/>
        <w:pageBreakBefore w:val="0"/>
        <w:widowControl w:val="0"/>
        <w:kinsoku/>
        <w:wordWrap/>
        <w:overflowPunct/>
        <w:topLinePunct w:val="0"/>
        <w:autoSpaceDE w:val="0"/>
        <w:autoSpaceDN/>
        <w:bidi w:val="0"/>
        <w:adjustRightInd/>
        <w:snapToGrid/>
        <w:spacing w:line="560" w:lineRule="exact"/>
        <w:ind w:firstLine="640"/>
        <w:textAlignment w:val="auto"/>
        <w:rPr>
          <w:rFonts w:ascii="黑体" w:hAnsi="黑体" w:eastAsia="黑体"/>
          <w:sz w:val="32"/>
          <w:szCs w:val="32"/>
        </w:rPr>
      </w:pPr>
      <w:r>
        <w:rPr>
          <w:rFonts w:hint="eastAsia" w:ascii="黑体" w:hAnsi="黑体" w:eastAsia="黑体"/>
          <w:sz w:val="32"/>
          <w:szCs w:val="32"/>
        </w:rPr>
        <w:t>四、财政补贴政策</w:t>
      </w:r>
    </w:p>
    <w:p>
      <w:pPr>
        <w:keepNext w:val="0"/>
        <w:keepLines w:val="0"/>
        <w:pageBreakBefore w:val="0"/>
        <w:widowControl w:val="0"/>
        <w:kinsoku/>
        <w:wordWrap/>
        <w:overflowPunct/>
        <w:topLinePunct w:val="0"/>
        <w:autoSpaceDE w:val="0"/>
        <w:autoSpaceDN/>
        <w:bidi w:val="0"/>
        <w:adjustRightInd/>
        <w:snapToGrid/>
        <w:spacing w:line="560" w:lineRule="exact"/>
        <w:ind w:firstLine="643"/>
        <w:textAlignment w:val="auto"/>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b/>
          <w:bCs/>
          <w:sz w:val="32"/>
          <w:szCs w:val="32"/>
          <w:lang w:val="en-US" w:eastAsia="zh-CN"/>
        </w:rPr>
        <w:t>第十二条</w:t>
      </w:r>
      <w:r>
        <w:rPr>
          <w:rFonts w:hint="eastAsia" w:ascii="仿宋_GB2312" w:hAnsi="仿宋_GB2312" w:eastAsia="仿宋_GB2312" w:cs="仿宋_GB2312"/>
          <w:sz w:val="32"/>
          <w:szCs w:val="32"/>
          <w:lang w:val="en-US" w:eastAsia="zh-CN"/>
        </w:rPr>
        <w:t xml:space="preserve"> 对新引进租用车间建设的工业项目和生产性服务业项目，给予租金补贴和设备补贴。</w:t>
      </w:r>
    </w:p>
    <w:p>
      <w:pPr>
        <w:keepNext w:val="0"/>
        <w:keepLines w:val="0"/>
        <w:pageBreakBefore w:val="0"/>
        <w:widowControl w:val="0"/>
        <w:kinsoku/>
        <w:wordWrap/>
        <w:overflowPunct/>
        <w:topLinePunct w:val="0"/>
        <w:autoSpaceDE w:val="0"/>
        <w:autoSpaceDN/>
        <w:bidi w:val="0"/>
        <w:adjustRightInd/>
        <w:snapToGrid/>
        <w:spacing w:line="560" w:lineRule="exact"/>
        <w:ind w:firstLine="643"/>
        <w:textAlignment w:val="auto"/>
        <w:rPr>
          <w:rFonts w:hint="eastAsia" w:ascii="仿宋_GB2312" w:hAnsi="仿宋_GB2312" w:eastAsia="仿宋_GB2312" w:cs="仿宋_GB2312"/>
          <w:sz w:val="32"/>
          <w:szCs w:val="32"/>
          <w:lang w:val="en-US" w:eastAsia="zh-CN"/>
        </w:rPr>
      </w:pPr>
      <w:bookmarkStart w:id="2" w:name="_Hlk87632818"/>
      <w:r>
        <w:rPr>
          <w:rFonts w:hint="eastAsia" w:ascii="仿宋_GB2312" w:hAnsi="仿宋_GB2312" w:eastAsia="仿宋_GB2312" w:cs="仿宋_GB2312"/>
          <w:sz w:val="32"/>
          <w:szCs w:val="32"/>
          <w:lang w:val="en-US" w:eastAsia="zh-CN"/>
        </w:rPr>
        <w:t>每亩每年纳税20万元以上的</w:t>
      </w:r>
      <w:bookmarkEnd w:id="2"/>
      <w:r>
        <w:rPr>
          <w:rFonts w:hint="eastAsia" w:ascii="仿宋_GB2312" w:hAnsi="仿宋_GB2312" w:eastAsia="仿宋_GB2312" w:cs="仿宋_GB2312"/>
          <w:sz w:val="32"/>
          <w:szCs w:val="32"/>
          <w:lang w:val="en-US" w:eastAsia="zh-CN"/>
        </w:rPr>
        <w:t xml:space="preserve">，连续3年按年度租金50%给予补贴；每亩每年纳税30万元以上的，连续3年按年度租金100%给予补贴； </w:t>
      </w:r>
    </w:p>
    <w:p>
      <w:pPr>
        <w:keepNext w:val="0"/>
        <w:keepLines w:val="0"/>
        <w:pageBreakBefore w:val="0"/>
        <w:widowControl w:val="0"/>
        <w:kinsoku/>
        <w:wordWrap/>
        <w:overflowPunct/>
        <w:topLinePunct w:val="0"/>
        <w:autoSpaceDE w:val="0"/>
        <w:autoSpaceDN/>
        <w:bidi w:val="0"/>
        <w:adjustRightInd/>
        <w:snapToGrid/>
        <w:spacing w:line="560" w:lineRule="exact"/>
        <w:ind w:firstLine="643"/>
        <w:textAlignment w:val="auto"/>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每亩每年纳税20万元以上的设备投资总额2000万元以上的项目，按实际支付的设备投资的5%给予一次性补贴，最高补贴200万元。</w:t>
      </w:r>
    </w:p>
    <w:p>
      <w:pPr>
        <w:keepNext w:val="0"/>
        <w:keepLines w:val="0"/>
        <w:pageBreakBefore w:val="0"/>
        <w:widowControl w:val="0"/>
        <w:kinsoku/>
        <w:wordWrap/>
        <w:overflowPunct/>
        <w:topLinePunct w:val="0"/>
        <w:autoSpaceDE w:val="0"/>
        <w:autoSpaceDN/>
        <w:bidi w:val="0"/>
        <w:adjustRightInd/>
        <w:snapToGrid/>
        <w:spacing w:line="560" w:lineRule="exact"/>
        <w:ind w:firstLine="640"/>
        <w:textAlignment w:val="auto"/>
        <w:rPr>
          <w:rFonts w:ascii="黑体" w:hAnsi="黑体" w:eastAsia="黑体"/>
          <w:sz w:val="32"/>
          <w:szCs w:val="32"/>
        </w:rPr>
      </w:pPr>
      <w:r>
        <w:rPr>
          <w:rFonts w:hint="eastAsia" w:ascii="黑体" w:hAnsi="黑体" w:eastAsia="黑体"/>
          <w:sz w:val="32"/>
          <w:szCs w:val="32"/>
        </w:rPr>
        <w:t>五、项目引荐政策</w:t>
      </w:r>
    </w:p>
    <w:p>
      <w:pPr>
        <w:keepNext w:val="0"/>
        <w:keepLines w:val="0"/>
        <w:pageBreakBefore w:val="0"/>
        <w:widowControl w:val="0"/>
        <w:kinsoku/>
        <w:wordWrap/>
        <w:overflowPunct/>
        <w:topLinePunct w:val="0"/>
        <w:autoSpaceDE w:val="0"/>
        <w:autoSpaceDN/>
        <w:bidi w:val="0"/>
        <w:adjustRightInd/>
        <w:snapToGrid/>
        <w:spacing w:line="560" w:lineRule="exact"/>
        <w:ind w:firstLine="643"/>
        <w:textAlignment w:val="auto"/>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b/>
          <w:bCs/>
          <w:sz w:val="32"/>
          <w:szCs w:val="32"/>
          <w:lang w:val="en-US" w:eastAsia="zh-CN"/>
        </w:rPr>
        <w:t>第十三条</w:t>
      </w:r>
      <w:r>
        <w:rPr>
          <w:rFonts w:hint="eastAsia" w:ascii="仿宋_GB2312" w:hAnsi="仿宋_GB2312" w:eastAsia="仿宋_GB2312" w:cs="仿宋_GB2312"/>
          <w:sz w:val="32"/>
          <w:szCs w:val="32"/>
          <w:lang w:val="en-US" w:eastAsia="zh-CN"/>
        </w:rPr>
        <w:t xml:space="preserve"> 招商引资人奖励。招商引资人为各类非公经济组织和非国家公职人员的，按照引进项目固定资产投资额度进行奖励，奖励标准为项目固定资产投资的0.2%，一个项目最高奖励100万元。奖励资金分两批兑现，项目签约落地开工后落实50%，项目建设按约定时间建成运营达产后落实50%。</w:t>
      </w:r>
    </w:p>
    <w:p>
      <w:pPr>
        <w:keepNext w:val="0"/>
        <w:keepLines w:val="0"/>
        <w:pageBreakBefore w:val="0"/>
        <w:widowControl w:val="0"/>
        <w:kinsoku/>
        <w:wordWrap/>
        <w:overflowPunct/>
        <w:topLinePunct w:val="0"/>
        <w:autoSpaceDE w:val="0"/>
        <w:autoSpaceDN/>
        <w:bidi w:val="0"/>
        <w:adjustRightInd/>
        <w:snapToGrid/>
        <w:spacing w:line="560" w:lineRule="exact"/>
        <w:ind w:firstLine="643"/>
        <w:textAlignment w:val="auto"/>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b/>
          <w:bCs/>
          <w:sz w:val="32"/>
          <w:szCs w:val="32"/>
          <w:lang w:val="en-US" w:eastAsia="zh-CN"/>
        </w:rPr>
        <w:t>第十四条</w:t>
      </w:r>
      <w:r>
        <w:rPr>
          <w:rFonts w:hint="eastAsia" w:ascii="仿宋_GB2312" w:hAnsi="仿宋_GB2312" w:eastAsia="仿宋_GB2312" w:cs="仿宋_GB2312"/>
          <w:sz w:val="32"/>
          <w:szCs w:val="32"/>
          <w:lang w:val="en-US" w:eastAsia="zh-CN"/>
        </w:rPr>
        <w:t xml:space="preserve"> 对科技含量高、品牌效益好、影响力大、带动性强的重大项目引荐人，采取“一事一议”的方式奖补。</w:t>
      </w:r>
    </w:p>
    <w:p>
      <w:pPr>
        <w:keepNext w:val="0"/>
        <w:keepLines w:val="0"/>
        <w:pageBreakBefore w:val="0"/>
        <w:widowControl w:val="0"/>
        <w:kinsoku/>
        <w:wordWrap/>
        <w:overflowPunct/>
        <w:topLinePunct w:val="0"/>
        <w:autoSpaceDE w:val="0"/>
        <w:autoSpaceDN/>
        <w:bidi w:val="0"/>
        <w:adjustRightInd/>
        <w:snapToGrid/>
        <w:spacing w:line="560" w:lineRule="exact"/>
        <w:ind w:firstLine="640"/>
        <w:textAlignment w:val="auto"/>
        <w:rPr>
          <w:rFonts w:ascii="黑体" w:hAnsi="黑体" w:eastAsia="黑体"/>
          <w:sz w:val="32"/>
          <w:szCs w:val="32"/>
        </w:rPr>
      </w:pPr>
      <w:r>
        <w:rPr>
          <w:rFonts w:hint="eastAsia" w:ascii="黑体" w:hAnsi="黑体" w:eastAsia="黑体"/>
          <w:sz w:val="32"/>
          <w:szCs w:val="32"/>
        </w:rPr>
        <w:t>六、附则</w:t>
      </w:r>
    </w:p>
    <w:p>
      <w:pPr>
        <w:keepNext w:val="0"/>
        <w:keepLines w:val="0"/>
        <w:pageBreakBefore w:val="0"/>
        <w:widowControl w:val="0"/>
        <w:kinsoku/>
        <w:wordWrap/>
        <w:overflowPunct/>
        <w:topLinePunct w:val="0"/>
        <w:autoSpaceDE w:val="0"/>
        <w:autoSpaceDN/>
        <w:bidi w:val="0"/>
        <w:adjustRightInd/>
        <w:snapToGrid/>
        <w:spacing w:line="560" w:lineRule="exact"/>
        <w:ind w:firstLine="643"/>
        <w:textAlignment w:val="auto"/>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b/>
          <w:bCs/>
          <w:sz w:val="32"/>
          <w:szCs w:val="32"/>
          <w:lang w:val="en-US" w:eastAsia="zh-CN"/>
        </w:rPr>
        <w:t>第十五条</w:t>
      </w:r>
      <w:r>
        <w:rPr>
          <w:rFonts w:hint="eastAsia" w:ascii="仿宋_GB2312" w:hAnsi="仿宋_GB2312" w:eastAsia="仿宋_GB2312" w:cs="仿宋_GB2312"/>
          <w:sz w:val="32"/>
          <w:szCs w:val="32"/>
          <w:lang w:val="en-US" w:eastAsia="zh-CN"/>
        </w:rPr>
        <w:t xml:space="preserve"> 本政策所指固定资产投资、设备投资由开发区委托第三方公司审计评估认定；纳税数据由税务局审核提供，每亩每年纳税额核算应剔除固定资产抵扣税额影响。 </w:t>
      </w:r>
    </w:p>
    <w:p>
      <w:pPr>
        <w:keepNext w:val="0"/>
        <w:keepLines w:val="0"/>
        <w:pageBreakBefore w:val="0"/>
        <w:widowControl w:val="0"/>
        <w:kinsoku/>
        <w:wordWrap/>
        <w:overflowPunct/>
        <w:topLinePunct w:val="0"/>
        <w:autoSpaceDE w:val="0"/>
        <w:autoSpaceDN/>
        <w:bidi w:val="0"/>
        <w:adjustRightInd/>
        <w:snapToGrid/>
        <w:spacing w:line="560" w:lineRule="exact"/>
        <w:ind w:firstLine="643"/>
        <w:textAlignment w:val="auto"/>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b/>
          <w:bCs/>
          <w:sz w:val="32"/>
          <w:szCs w:val="32"/>
          <w:lang w:val="en-US" w:eastAsia="zh-CN"/>
        </w:rPr>
        <w:t>第十六条</w:t>
      </w:r>
      <w:r>
        <w:rPr>
          <w:rFonts w:hint="eastAsia" w:ascii="仿宋_GB2312" w:hAnsi="仿宋_GB2312" w:eastAsia="仿宋_GB2312" w:cs="仿宋_GB2312"/>
          <w:sz w:val="32"/>
          <w:szCs w:val="32"/>
          <w:lang w:val="en-US" w:eastAsia="zh-CN"/>
        </w:rPr>
        <w:t xml:space="preserve"> 招商引资项目实现保姆式服务，领代办行政审批和公共服务事项。实行互联网+政务服务，实现信息共享，推进“一网、一门、一次”改革。</w:t>
      </w:r>
    </w:p>
    <w:p>
      <w:pPr>
        <w:keepNext w:val="0"/>
        <w:keepLines w:val="0"/>
        <w:pageBreakBefore w:val="0"/>
        <w:widowControl w:val="0"/>
        <w:kinsoku/>
        <w:wordWrap/>
        <w:overflowPunct/>
        <w:topLinePunct w:val="0"/>
        <w:autoSpaceDE w:val="0"/>
        <w:autoSpaceDN/>
        <w:bidi w:val="0"/>
        <w:adjustRightInd/>
        <w:snapToGrid/>
        <w:spacing w:line="560" w:lineRule="exact"/>
        <w:ind w:firstLine="643"/>
        <w:textAlignment w:val="auto"/>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b/>
          <w:bCs/>
          <w:sz w:val="32"/>
          <w:szCs w:val="32"/>
          <w:lang w:val="en-US" w:eastAsia="zh-CN"/>
        </w:rPr>
        <w:t>第十七条</w:t>
      </w:r>
      <w:r>
        <w:rPr>
          <w:rFonts w:hint="eastAsia" w:ascii="仿宋_GB2312" w:hAnsi="仿宋_GB2312" w:eastAsia="仿宋_GB2312" w:cs="仿宋_GB2312"/>
          <w:sz w:val="32"/>
          <w:szCs w:val="32"/>
          <w:lang w:val="en-US" w:eastAsia="zh-CN"/>
        </w:rPr>
        <w:t xml:space="preserve"> 本政策试行期内引进的项目，按照项目入驻协议约定年限执行，落实相关政策措施。</w:t>
      </w:r>
    </w:p>
    <w:p>
      <w:pPr>
        <w:keepNext w:val="0"/>
        <w:keepLines w:val="0"/>
        <w:pageBreakBefore w:val="0"/>
        <w:widowControl w:val="0"/>
        <w:kinsoku/>
        <w:wordWrap/>
        <w:overflowPunct/>
        <w:topLinePunct w:val="0"/>
        <w:autoSpaceDE w:val="0"/>
        <w:autoSpaceDN/>
        <w:bidi w:val="0"/>
        <w:adjustRightInd/>
        <w:snapToGrid/>
        <w:spacing w:line="560" w:lineRule="exact"/>
        <w:ind w:firstLine="643"/>
        <w:textAlignment w:val="auto"/>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b/>
          <w:bCs/>
          <w:sz w:val="32"/>
          <w:szCs w:val="32"/>
          <w:lang w:val="en-US" w:eastAsia="zh-CN"/>
        </w:rPr>
        <w:t>第十八条</w:t>
      </w:r>
      <w:r>
        <w:rPr>
          <w:rFonts w:hint="eastAsia" w:ascii="仿宋_GB2312" w:hAnsi="仿宋_GB2312" w:eastAsia="仿宋_GB2312" w:cs="仿宋_GB2312"/>
          <w:sz w:val="32"/>
          <w:szCs w:val="32"/>
          <w:lang w:val="en-US" w:eastAsia="zh-CN"/>
        </w:rPr>
        <w:t xml:space="preserve"> 现行有关政策与本政策待遇相同的，不重复享受。如遇国家、省、市政策调整，本政策与上级政策发生冲突，按上级政策执行。</w:t>
      </w:r>
    </w:p>
    <w:p>
      <w:pPr>
        <w:keepNext w:val="0"/>
        <w:keepLines w:val="0"/>
        <w:pageBreakBefore w:val="0"/>
        <w:widowControl w:val="0"/>
        <w:kinsoku/>
        <w:wordWrap/>
        <w:overflowPunct/>
        <w:topLinePunct w:val="0"/>
        <w:autoSpaceDE w:val="0"/>
        <w:autoSpaceDN/>
        <w:bidi w:val="0"/>
        <w:adjustRightInd/>
        <w:snapToGrid/>
        <w:spacing w:line="560" w:lineRule="exact"/>
        <w:ind w:firstLine="643"/>
        <w:textAlignment w:val="auto"/>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b/>
          <w:bCs/>
          <w:sz w:val="32"/>
          <w:szCs w:val="32"/>
          <w:lang w:val="en-US" w:eastAsia="zh-CN"/>
        </w:rPr>
        <w:t>第十九条</w:t>
      </w:r>
      <w:r>
        <w:rPr>
          <w:rFonts w:hint="eastAsia" w:ascii="仿宋_GB2312" w:hAnsi="仿宋_GB2312" w:eastAsia="仿宋_GB2312" w:cs="仿宋_GB2312"/>
          <w:sz w:val="32"/>
          <w:szCs w:val="32"/>
          <w:lang w:val="en-US" w:eastAsia="zh-CN"/>
        </w:rPr>
        <w:t>　本政策由开发区管委会负责解释，自印发之日起施行，有效期二年。《中共高阳县委办公室、高阳县人民政府办公室关于印发&lt;高阳经济开发区招商引资政策（试行）&gt;的通知》（高办发〔2021〕）7号）即行废止。</w:t>
      </w:r>
    </w:p>
    <w:p>
      <w:pPr>
        <w:keepNext w:val="0"/>
        <w:keepLines w:val="0"/>
        <w:pageBreakBefore w:val="0"/>
        <w:widowControl w:val="0"/>
        <w:kinsoku/>
        <w:wordWrap/>
        <w:overflowPunct/>
        <w:topLinePunct w:val="0"/>
        <w:autoSpaceDE w:val="0"/>
        <w:autoSpaceDN/>
        <w:bidi w:val="0"/>
        <w:adjustRightInd/>
        <w:snapToGrid/>
        <w:spacing w:line="560" w:lineRule="exact"/>
        <w:ind w:firstLine="643"/>
        <w:textAlignment w:val="auto"/>
        <w:rPr>
          <w:rFonts w:hint="eastAsia" w:ascii="仿宋_GB2312" w:hAnsi="仿宋_GB2312" w:eastAsia="仿宋_GB2312" w:cs="仿宋_GB2312"/>
          <w:sz w:val="32"/>
          <w:szCs w:val="32"/>
          <w:lang w:val="en-US" w:eastAsia="zh-CN"/>
        </w:rPr>
      </w:pPr>
    </w:p>
    <w:sectPr>
      <w:footerReference r:id="rId3" w:type="default"/>
      <w:pgSz w:w="11906" w:h="16838"/>
      <w:pgMar w:top="2098" w:right="1474" w:bottom="1871" w:left="1587" w:header="851" w:footer="992" w:gutter="0"/>
      <w:pgNumType w:fmt="decimal"/>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1"/>
    <w:family w:val="auto"/>
    <w:pitch w:val="default"/>
    <w:sig w:usb0="E0002EFF" w:usb1="C0007843" w:usb2="00000009" w:usb3="00000000" w:csb0="400001FF" w:csb1="FFFF0000"/>
  </w:font>
  <w:font w:name="宋体">
    <w:panose1 w:val="02010600030101010101"/>
    <w:charset w:val="7A"/>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_GB2312">
    <w:altName w:val="Times New Roman"/>
    <w:panose1 w:val="00000000000000000000"/>
    <w:charset w:val="00"/>
    <w:family w:val="auto"/>
    <w:pitch w:val="default"/>
    <w:sig w:usb0="00000000" w:usb1="00000000" w:usb2="00000000" w:usb3="00000000" w:csb0="00000001" w:csb1="00000000"/>
  </w:font>
  <w:font w:name="方正小标宋简体">
    <w:altName w:val="黑体"/>
    <w:panose1 w:val="03000509000000000000"/>
    <w:charset w:val="86"/>
    <w:family w:val="script"/>
    <w:pitch w:val="default"/>
    <w:sig w:usb0="00000000" w:usb1="00000000" w:usb2="00000000" w:usb3="00000000" w:csb0="00040000" w:csb1="00000000"/>
  </w:font>
  <w:font w:name="仿宋">
    <w:panose1 w:val="02010609060101010101"/>
    <w:charset w:val="86"/>
    <w:family w:val="modern"/>
    <w:pitch w:val="default"/>
    <w:sig w:usb0="800002BF" w:usb1="38CF7CFA" w:usb2="00000016" w:usb3="00000000" w:csb0="00040001" w:csb1="00000000"/>
  </w:font>
  <w:font w:name="仿宋_GB2312">
    <w:altName w:val="仿宋"/>
    <w:panose1 w:val="02010609030101010101"/>
    <w:charset w:val="86"/>
    <w:family w:val="modern"/>
    <w:pitch w:val="default"/>
    <w:sig w:usb0="00000000" w:usb1="00000000" w:usb2="00000000" w:usb3="00000000" w:csb0="00040000"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3"/>
    </w:pPr>
    <w:r>
      <mc:AlternateContent>
        <mc:Choice Requires="wps">
          <w:drawing>
            <wp:anchor distT="0" distB="0" distL="114300" distR="114300" simplePos="0" relativeHeight="251659264" behindDoc="0" locked="0" layoutInCell="1" allowOverlap="1">
              <wp:simplePos x="0" y="0"/>
              <wp:positionH relativeFrom="margin">
                <wp:align>outside</wp:align>
              </wp:positionH>
              <wp:positionV relativeFrom="paragraph">
                <wp:posOffset>0</wp:posOffset>
              </wp:positionV>
              <wp:extent cx="1828800" cy="1828800"/>
              <wp:effectExtent l="0" t="0" r="0" b="0"/>
              <wp:wrapNone/>
              <wp:docPr id="1" name="文本框 1"/>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3"/>
                            <w:rPr>
                              <w:rFonts w:asciiTheme="minorEastAsia" w:hAnsiTheme="minorEastAsia" w:cstheme="minorEastAsia"/>
                              <w:sz w:val="28"/>
                              <w:szCs w:val="28"/>
                            </w:rPr>
                          </w:pPr>
                          <w:r>
                            <w:rPr>
                              <w:rFonts w:asciiTheme="minorEastAsia" w:hAnsiTheme="minorEastAsia" w:cstheme="minorEastAsia"/>
                              <w:sz w:val="28"/>
                              <w:szCs w:val="28"/>
                            </w:rPr>
                            <w:t xml:space="preserve">— </w:t>
                          </w:r>
                          <w:r>
                            <w:rPr>
                              <w:rFonts w:asciiTheme="minorEastAsia" w:hAnsiTheme="minorEastAsia" w:cstheme="minorEastAsia"/>
                              <w:sz w:val="28"/>
                              <w:szCs w:val="28"/>
                            </w:rPr>
                            <w:fldChar w:fldCharType="begin"/>
                          </w:r>
                          <w:r>
                            <w:rPr>
                              <w:rFonts w:asciiTheme="minorEastAsia" w:hAnsiTheme="minorEastAsia" w:cstheme="minorEastAsia"/>
                              <w:sz w:val="28"/>
                              <w:szCs w:val="28"/>
                            </w:rPr>
                            <w:instrText xml:space="preserve"> PAGE  \* MERGEFORMAT </w:instrText>
                          </w:r>
                          <w:r>
                            <w:rPr>
                              <w:rFonts w:asciiTheme="minorEastAsia" w:hAnsiTheme="minorEastAsia" w:cstheme="minorEastAsia"/>
                              <w:sz w:val="28"/>
                              <w:szCs w:val="28"/>
                            </w:rPr>
                            <w:fldChar w:fldCharType="separate"/>
                          </w:r>
                          <w:r>
                            <w:rPr>
                              <w:rFonts w:asciiTheme="minorEastAsia" w:hAnsiTheme="minorEastAsia" w:cstheme="minorEastAsia"/>
                              <w:sz w:val="28"/>
                              <w:szCs w:val="28"/>
                            </w:rPr>
                            <w:t>- 1 -</w:t>
                          </w:r>
                          <w:r>
                            <w:rPr>
                              <w:rFonts w:asciiTheme="minorEastAsia" w:hAnsiTheme="minorEastAsia" w:cstheme="minorEastAsia"/>
                              <w:sz w:val="28"/>
                              <w:szCs w:val="28"/>
                            </w:rPr>
                            <w:fldChar w:fldCharType="end"/>
                          </w:r>
                          <w:r>
                            <w:rPr>
                              <w:rFonts w:asciiTheme="minorEastAsia" w:hAnsiTheme="minorEastAsia" w:cstheme="minorEastAsia"/>
                              <w:sz w:val="28"/>
                              <w:szCs w:val="28"/>
                            </w:rPr>
                            <w:t xml:space="preserve"> —</w:t>
                          </w:r>
                        </w:p>
                      </w:txbxContent>
                    </wps:txbx>
                    <wps:bodyPr rot="0" spcFirstLastPara="0" vertOverflow="overflow" horzOverflow="overflow" vert="horz" wrap="none" lIns="0" tIns="0" rIns="0" bIns="0" numCol="1" spcCol="0" rtlCol="0" fromWordArt="0" anchor="t" anchorCtr="0" forceAA="0" compatLnSpc="1">
                      <a:spAutoFit/>
                    </wps:bodyPr>
                  </wps:wsp>
                </a:graphicData>
              </a:graphic>
            </wp:anchor>
          </w:drawing>
        </mc:Choice>
        <mc:Fallback>
          <w:pict>
            <v:shape id="_x0000_s1026" o:spid="_x0000_s1026" o:spt="202" type="#_x0000_t202" style="position:absolute;left:0pt;margin-top:0pt;height:144pt;width:144pt;mso-position-horizontal:outside;mso-position-horizontal-relative:margin;mso-wrap-style:none;z-index:25165926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">
              <v:fill on="f" focussize="0,0"/>
              <v:stroke on="f" weight="0.5pt"/>
              <v:imagedata o:title=""/>
              <o:lock v:ext="edit" aspectratio="f"/>
              <v:textbox inset="0mm,0mm,0mm,0mm" style="mso-fit-shape-to-text:t;">
                <w:txbxContent>
                  <w:p>
                    <w:pPr>
                      <w:pStyle w:val="3"/>
                      <w:rPr>
                        <w:rFonts w:asciiTheme="minorEastAsia" w:hAnsiTheme="minorEastAsia" w:cstheme="minorEastAsia"/>
                        <w:sz w:val="28"/>
                        <w:szCs w:val="28"/>
                      </w:rPr>
                    </w:pPr>
                    <w:r>
                      <w:rPr>
                        <w:rFonts w:asciiTheme="minorEastAsia" w:hAnsiTheme="minorEastAsia" w:cstheme="minorEastAsia"/>
                        <w:sz w:val="28"/>
                        <w:szCs w:val="28"/>
                      </w:rPr>
                      <w:t xml:space="preserve">— </w:t>
                    </w:r>
                    <w:r>
                      <w:rPr>
                        <w:rFonts w:asciiTheme="minorEastAsia" w:hAnsiTheme="minorEastAsia" w:cstheme="minorEastAsia"/>
                        <w:sz w:val="28"/>
                        <w:szCs w:val="28"/>
                      </w:rPr>
                      <w:fldChar w:fldCharType="begin"/>
                    </w:r>
                    <w:r>
                      <w:rPr>
                        <w:rFonts w:asciiTheme="minorEastAsia" w:hAnsiTheme="minorEastAsia" w:cstheme="minorEastAsia"/>
                        <w:sz w:val="28"/>
                        <w:szCs w:val="28"/>
                      </w:rPr>
                      <w:instrText xml:space="preserve"> PAGE  \* MERGEFORMAT </w:instrText>
                    </w:r>
                    <w:r>
                      <w:rPr>
                        <w:rFonts w:asciiTheme="minorEastAsia" w:hAnsiTheme="minorEastAsia" w:cstheme="minorEastAsia"/>
                        <w:sz w:val="28"/>
                        <w:szCs w:val="28"/>
                      </w:rPr>
                      <w:fldChar w:fldCharType="separate"/>
                    </w:r>
                    <w:r>
                      <w:rPr>
                        <w:rFonts w:asciiTheme="minorEastAsia" w:hAnsiTheme="minorEastAsia" w:cstheme="minorEastAsia"/>
                        <w:sz w:val="28"/>
                        <w:szCs w:val="28"/>
                      </w:rPr>
                      <w:t>- 1 -</w:t>
                    </w:r>
                    <w:r>
                      <w:rPr>
                        <w:rFonts w:asciiTheme="minorEastAsia" w:hAnsiTheme="minorEastAsia" w:cstheme="minorEastAsia"/>
                        <w:sz w:val="28"/>
                        <w:szCs w:val="28"/>
                      </w:rPr>
                      <w:fldChar w:fldCharType="end"/>
                    </w:r>
                    <w:r>
                      <w:rPr>
                        <w:rFonts w:asciiTheme="minorEastAsia" w:hAnsiTheme="minorEastAsia" w:cstheme="minorEastAsia"/>
                        <w:sz w:val="28"/>
                        <w:szCs w:val="28"/>
                      </w:rPr>
                      <w:t xml:space="preserve"> —</w:t>
                    </w:r>
                  </w:p>
                </w:txbxContent>
              </v:textbox>
            </v:shape>
          </w:pict>
        </mc:Fallback>
      </mc:AlternateContent>
    </w:r>
    <w:r>
      <w:rPr>
        <w:rFonts w:hint="eastAsia"/>
      </w:rPr>
      <w:t xml:space="preserve">                      </w:t>
    </w:r>
  </w:p>
</w:ft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45"/>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890457"/>
    <w:rsid w:val="00014BB5"/>
    <w:rsid w:val="00020F99"/>
    <w:rsid w:val="00035512"/>
    <w:rsid w:val="00065929"/>
    <w:rsid w:val="000879C0"/>
    <w:rsid w:val="00096840"/>
    <w:rsid w:val="000A6A43"/>
    <w:rsid w:val="000E1928"/>
    <w:rsid w:val="001005AC"/>
    <w:rsid w:val="00142554"/>
    <w:rsid w:val="0015662D"/>
    <w:rsid w:val="001956B8"/>
    <w:rsid w:val="001B1D1E"/>
    <w:rsid w:val="00242D2B"/>
    <w:rsid w:val="00242F5A"/>
    <w:rsid w:val="00267214"/>
    <w:rsid w:val="00267BE1"/>
    <w:rsid w:val="0031302F"/>
    <w:rsid w:val="00384CD5"/>
    <w:rsid w:val="003B7DEE"/>
    <w:rsid w:val="00430AAE"/>
    <w:rsid w:val="0043313F"/>
    <w:rsid w:val="004510C0"/>
    <w:rsid w:val="0051360D"/>
    <w:rsid w:val="005C57EF"/>
    <w:rsid w:val="005E21C3"/>
    <w:rsid w:val="005E22F2"/>
    <w:rsid w:val="00605115"/>
    <w:rsid w:val="0060780E"/>
    <w:rsid w:val="00614B8D"/>
    <w:rsid w:val="00670A03"/>
    <w:rsid w:val="006A4505"/>
    <w:rsid w:val="006B0E49"/>
    <w:rsid w:val="00704EA9"/>
    <w:rsid w:val="007123BF"/>
    <w:rsid w:val="007249F3"/>
    <w:rsid w:val="007349EA"/>
    <w:rsid w:val="00795787"/>
    <w:rsid w:val="00807E91"/>
    <w:rsid w:val="0088455F"/>
    <w:rsid w:val="00890457"/>
    <w:rsid w:val="008F79E8"/>
    <w:rsid w:val="009014FF"/>
    <w:rsid w:val="00921371"/>
    <w:rsid w:val="00923009"/>
    <w:rsid w:val="00926FC2"/>
    <w:rsid w:val="00954AC7"/>
    <w:rsid w:val="009658AF"/>
    <w:rsid w:val="00973327"/>
    <w:rsid w:val="00976AF0"/>
    <w:rsid w:val="009954CA"/>
    <w:rsid w:val="009A2501"/>
    <w:rsid w:val="009B30FF"/>
    <w:rsid w:val="009D5BD5"/>
    <w:rsid w:val="009F2032"/>
    <w:rsid w:val="00A60231"/>
    <w:rsid w:val="00AC28DD"/>
    <w:rsid w:val="00AD5DE4"/>
    <w:rsid w:val="00AD6A55"/>
    <w:rsid w:val="00AF1C21"/>
    <w:rsid w:val="00B06D0F"/>
    <w:rsid w:val="00B12763"/>
    <w:rsid w:val="00B329D5"/>
    <w:rsid w:val="00BA2B65"/>
    <w:rsid w:val="00C51445"/>
    <w:rsid w:val="00C83221"/>
    <w:rsid w:val="00CA0836"/>
    <w:rsid w:val="00CA1E48"/>
    <w:rsid w:val="00CB2655"/>
    <w:rsid w:val="00CC124A"/>
    <w:rsid w:val="00CC2941"/>
    <w:rsid w:val="00CD5D03"/>
    <w:rsid w:val="00D23824"/>
    <w:rsid w:val="00D5129D"/>
    <w:rsid w:val="00D5724A"/>
    <w:rsid w:val="00D849DA"/>
    <w:rsid w:val="00DC009D"/>
    <w:rsid w:val="00DC6E8A"/>
    <w:rsid w:val="00E35469"/>
    <w:rsid w:val="00F0739D"/>
    <w:rsid w:val="00F80916"/>
    <w:rsid w:val="00F842FE"/>
    <w:rsid w:val="00FC131D"/>
    <w:rsid w:val="05BB272D"/>
    <w:rsid w:val="06471FDD"/>
    <w:rsid w:val="08A93F25"/>
    <w:rsid w:val="099F5131"/>
    <w:rsid w:val="0B444D3D"/>
    <w:rsid w:val="0C6F5DE9"/>
    <w:rsid w:val="0DFC18FF"/>
    <w:rsid w:val="0E4F78CF"/>
    <w:rsid w:val="0E9E2944"/>
    <w:rsid w:val="142E72C2"/>
    <w:rsid w:val="161E113C"/>
    <w:rsid w:val="17531237"/>
    <w:rsid w:val="1A4D1490"/>
    <w:rsid w:val="1ABA132F"/>
    <w:rsid w:val="1B26753D"/>
    <w:rsid w:val="1BB60983"/>
    <w:rsid w:val="1D500DEE"/>
    <w:rsid w:val="1E8F792E"/>
    <w:rsid w:val="1EEE7042"/>
    <w:rsid w:val="1EF91CA8"/>
    <w:rsid w:val="21F60F0F"/>
    <w:rsid w:val="236A2ED9"/>
    <w:rsid w:val="246E33EC"/>
    <w:rsid w:val="24AD3C34"/>
    <w:rsid w:val="2501527E"/>
    <w:rsid w:val="27592BFA"/>
    <w:rsid w:val="290443B8"/>
    <w:rsid w:val="292A336C"/>
    <w:rsid w:val="29BA46F0"/>
    <w:rsid w:val="2A774DC6"/>
    <w:rsid w:val="2DE0144E"/>
    <w:rsid w:val="301669E9"/>
    <w:rsid w:val="305901F5"/>
    <w:rsid w:val="306929CC"/>
    <w:rsid w:val="34853B4C"/>
    <w:rsid w:val="3569521C"/>
    <w:rsid w:val="35CB1A33"/>
    <w:rsid w:val="364F4412"/>
    <w:rsid w:val="36D029A0"/>
    <w:rsid w:val="37122874"/>
    <w:rsid w:val="3AA27206"/>
    <w:rsid w:val="3AB71BEB"/>
    <w:rsid w:val="3B5369F0"/>
    <w:rsid w:val="3C5012C8"/>
    <w:rsid w:val="3D7E634C"/>
    <w:rsid w:val="3DF24001"/>
    <w:rsid w:val="3F5F1DA1"/>
    <w:rsid w:val="3FBF6165"/>
    <w:rsid w:val="43D33B9E"/>
    <w:rsid w:val="470F2A73"/>
    <w:rsid w:val="48332926"/>
    <w:rsid w:val="48F90CFF"/>
    <w:rsid w:val="49070FAA"/>
    <w:rsid w:val="492F5257"/>
    <w:rsid w:val="4AF30F10"/>
    <w:rsid w:val="4B4A5B0D"/>
    <w:rsid w:val="4CF67FBB"/>
    <w:rsid w:val="4D2C1467"/>
    <w:rsid w:val="536F7A4A"/>
    <w:rsid w:val="538B2CEF"/>
    <w:rsid w:val="539D3A7A"/>
    <w:rsid w:val="571E5A0D"/>
    <w:rsid w:val="57340F68"/>
    <w:rsid w:val="59E03DDD"/>
    <w:rsid w:val="5B7025B1"/>
    <w:rsid w:val="5D53461C"/>
    <w:rsid w:val="5EF02114"/>
    <w:rsid w:val="5F3940F1"/>
    <w:rsid w:val="5FF67529"/>
    <w:rsid w:val="62FE5B15"/>
    <w:rsid w:val="670F7E4D"/>
    <w:rsid w:val="68E24AEE"/>
    <w:rsid w:val="6A3A3955"/>
    <w:rsid w:val="6B054AC4"/>
    <w:rsid w:val="6B693574"/>
    <w:rsid w:val="6ECC37EA"/>
    <w:rsid w:val="706811B5"/>
    <w:rsid w:val="72F14DD0"/>
    <w:rsid w:val="77770AF7"/>
    <w:rsid w:val="79BA4100"/>
    <w:rsid w:val="79E7440B"/>
    <w:rsid w:val="7A7823CF"/>
    <w:rsid w:val="7AC75B8B"/>
    <w:rsid w:val="7B0D56DB"/>
    <w:rsid w:val="7B937ECA"/>
    <w:rsid w:val="7C1030FD"/>
    <w:rsid w:val="7C924D84"/>
    <w:rsid w:val="7CBF4EBB"/>
    <w:rsid w:val="7E4750BD"/>
    <w:rsid w:val="7F930498"/>
  </w:rsids>
  <m:mathPr>
    <m:mathFont m:val="Cambria Math"/>
    <m:brkBin m:val="before"/>
    <m:brkBinSub m:val="--"/>
    <m:smallFrac m:val="1"/>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heme="minorHAnsi" w:hAnsiTheme="minorHAnsi" w:eastAsiaTheme="minorEastAsia" w:cstheme="minorBidi"/>
      </w:rPr>
    </w:r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iPriority="9" w:name="heading 2"/>
    <w:lsdException w:qFormat="1" w:uiPriority="9" w:name="heading 3"/>
    <w:lsdException w:qFormat="1" w:uiPriority="9" w:name="heading 4"/>
    <w:lsdException w:qFormat="1" w:uiPriority="9" w:name="heading 5"/>
    <w:lsdException w:qFormat="1" w:uiPriority="9" w:name="heading 6"/>
    <w:lsdException w:qFormat="1" w:uiPriority="9" w:name="heading 7"/>
    <w:lsdException w:qFormat="1" w:uiPriority="9" w:name="heading 8"/>
    <w:lsdException w:qFormat="1" w:uiPriority="9"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uiPriority="39" w:name="toc 1"/>
    <w:lsdException w:uiPriority="39" w:name="toc 2"/>
    <w:lsdException w:uiPriority="39" w:name="toc 3"/>
    <w:lsdException w:uiPriority="39" w:name="toc 4"/>
    <w:lsdException w:uiPriority="39" w:name="toc 5"/>
    <w:lsdException w:uiPriority="39" w:name="toc 6"/>
    <w:lsdException w:uiPriority="39" w:name="toc 7"/>
    <w:lsdException w:uiPriority="39" w:name="toc 8"/>
    <w:lsdException w:uiPriority="39" w:name="toc 9"/>
    <w:lsdException w:uiPriority="99" w:name="Normal Indent"/>
    <w:lsdException w:uiPriority="99" w:name="footnote text"/>
    <w:lsdException w:uiPriority="99" w:name="annotation text"/>
    <w:lsdException w:qFormat="1" w:uiPriority="99" w:semiHidden="0" w:name="header"/>
    <w:lsdException w:qFormat="1" w:uiPriority="99" w:semiHidden="0" w:name="footer"/>
    <w:lsdException w:uiPriority="99" w:name="index heading"/>
    <w:lsdException w:qFormat="1" w:uiPriority="35" w:name="caption"/>
    <w:lsdException w:uiPriority="99" w:name="table of figures"/>
    <w:lsdException w:uiPriority="99" w:name="envelope address"/>
    <w:lsdException w:uiPriority="99" w:name="envelope return"/>
    <w:lsdException w:uiPriority="99" w:name="footnote reference"/>
    <w:lsdException w:uiPriority="99" w:name="annotation reference"/>
    <w:lsdException w:uiPriority="99" w:name="line number"/>
    <w:lsdException w:uiPriority="99"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10" w:semiHidden="0" w:name="Title"/>
    <w:lsdException w:uiPriority="99" w:name="Closing"/>
    <w:lsdException w:uiPriority="99" w:name="Signature"/>
    <w:lsdException w:qFormat="1" w:uiPriority="1" w:name="Default Paragraph Font"/>
    <w:lsdException w:qFormat="1" w:unhideWhenUsed="0" w:uiPriority="1" w:semiHidden="0" w:name="Body Text"/>
    <w:lsdException w:uiPriority="99"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uiPriority="99" w:name="Date"/>
    <w:lsdException w:uiPriority="99" w:name="Body Text First Indent"/>
    <w:lsdException w:uiPriority="99"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uiPriority="99" w:name="Hyperlink"/>
    <w:lsdException w:uiPriority="99" w:name="FollowedHyperlink"/>
    <w:lsdException w:qFormat="1" w:unhideWhenUsed="0" w:uiPriority="22" w:semiHidden="0" w:name="Strong"/>
    <w:lsdException w:qFormat="1" w:unhideWhenUsed="0" w:uiPriority="20" w:semiHidden="0" w:name="Emphasis"/>
    <w:lsdException w:uiPriority="99" w:name="Document Map"/>
    <w:lsdException w:uiPriority="99" w:name="Plain Text"/>
    <w:lsdException w:uiPriority="99" w:name="E-mail Signature"/>
    <w:lsdException w:uiPriority="99"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qFormat="1" w:uiPriority="99" w:name="Normal Table"/>
    <w:lsdException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uiPriority="99" w:name="Balloon Text"/>
    <w:lsdException w:unhideWhenUsed="0" w:uiPriority="59"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jc w:val="both"/>
    </w:pPr>
    <w:rPr>
      <w:rFonts w:asciiTheme="minorHAnsi" w:hAnsiTheme="minorHAnsi" w:eastAsiaTheme="minorEastAsia" w:cstheme="minorBidi"/>
      <w:kern w:val="2"/>
      <w:sz w:val="21"/>
      <w:szCs w:val="22"/>
      <w:lang w:val="en-US" w:eastAsia="zh-CN" w:bidi="ar-SA"/>
    </w:rPr>
  </w:style>
  <w:style w:type="character" w:default="1" w:styleId="6">
    <w:name w:val="Default Paragraph Font"/>
    <w:semiHidden/>
    <w:unhideWhenUsed/>
    <w:qFormat/>
    <w:uiPriority w:val="1"/>
  </w:style>
  <w:style w:type="table" w:default="1" w:styleId="5">
    <w:name w:val="Normal Table"/>
    <w:semiHidden/>
    <w:unhideWhenUsed/>
    <w:qFormat/>
    <w:uiPriority w:val="99"/>
    <w:tblPr>
      <w:tblCellMar>
        <w:top w:w="0" w:type="dxa"/>
        <w:left w:w="108" w:type="dxa"/>
        <w:bottom w:w="0" w:type="dxa"/>
        <w:right w:w="108" w:type="dxa"/>
      </w:tblCellMar>
    </w:tblPr>
  </w:style>
  <w:style w:type="paragraph" w:styleId="2">
    <w:name w:val="Body Text"/>
    <w:basedOn w:val="1"/>
    <w:next w:val="1"/>
    <w:qFormat/>
    <w:uiPriority w:val="1"/>
    <w:rPr>
      <w:sz w:val="32"/>
      <w:szCs w:val="32"/>
    </w:rPr>
  </w:style>
  <w:style w:type="paragraph" w:styleId="3">
    <w:name w:val="footer"/>
    <w:basedOn w:val="1"/>
    <w:link w:val="10"/>
    <w:unhideWhenUsed/>
    <w:qFormat/>
    <w:uiPriority w:val="99"/>
    <w:pPr>
      <w:tabs>
        <w:tab w:val="center" w:pos="4153"/>
        <w:tab w:val="right" w:pos="8306"/>
      </w:tabs>
      <w:snapToGrid w:val="0"/>
      <w:jc w:val="left"/>
    </w:pPr>
    <w:rPr>
      <w:sz w:val="18"/>
      <w:szCs w:val="18"/>
    </w:rPr>
  </w:style>
  <w:style w:type="paragraph" w:styleId="4">
    <w:name w:val="header"/>
    <w:basedOn w:val="1"/>
    <w:link w:val="9"/>
    <w:unhideWhenUsed/>
    <w:qFormat/>
    <w:uiPriority w:val="99"/>
    <w:pPr>
      <w:pBdr>
        <w:bottom w:val="single" w:color="auto" w:sz="6" w:space="1"/>
      </w:pBdr>
      <w:tabs>
        <w:tab w:val="center" w:pos="4153"/>
        <w:tab w:val="right" w:pos="8306"/>
      </w:tabs>
      <w:snapToGrid w:val="0"/>
      <w:jc w:val="center"/>
    </w:pPr>
    <w:rPr>
      <w:sz w:val="18"/>
      <w:szCs w:val="18"/>
    </w:rPr>
  </w:style>
  <w:style w:type="paragraph" w:customStyle="1" w:styleId="7">
    <w:name w:val="Default"/>
    <w:qFormat/>
    <w:uiPriority w:val="99"/>
    <w:pPr>
      <w:widowControl w:val="0"/>
      <w:autoSpaceDE w:val="0"/>
      <w:autoSpaceDN w:val="0"/>
      <w:adjustRightInd w:val="0"/>
    </w:pPr>
    <w:rPr>
      <w:rFonts w:ascii="??_GB2312" w:hAnsi="??_GB2312" w:eastAsia="宋体" w:cs="宋体"/>
      <w:color w:val="000000"/>
      <w:sz w:val="24"/>
      <w:szCs w:val="22"/>
      <w:lang w:val="en-US" w:eastAsia="zh-CN" w:bidi="ar-SA"/>
    </w:rPr>
  </w:style>
  <w:style w:type="paragraph" w:customStyle="1" w:styleId="8">
    <w:name w:val="WPS Plain"/>
    <w:basedOn w:val="1"/>
    <w:qFormat/>
    <w:uiPriority w:val="0"/>
    <w:pPr>
      <w:widowControl/>
      <w:jc w:val="left"/>
    </w:pPr>
    <w:rPr>
      <w:rFonts w:ascii="Times New Roman" w:hAnsi="Times New Roman" w:eastAsia="宋体" w:cs="Times New Roman"/>
      <w:kern w:val="0"/>
      <w:sz w:val="24"/>
      <w:szCs w:val="24"/>
    </w:rPr>
  </w:style>
  <w:style w:type="character" w:customStyle="1" w:styleId="9">
    <w:name w:val="页眉 字符"/>
    <w:basedOn w:val="6"/>
    <w:link w:val="4"/>
    <w:qFormat/>
    <w:uiPriority w:val="99"/>
    <w:rPr>
      <w:kern w:val="2"/>
      <w:sz w:val="18"/>
      <w:szCs w:val="18"/>
    </w:rPr>
  </w:style>
  <w:style w:type="character" w:customStyle="1" w:styleId="10">
    <w:name w:val="页脚 字符"/>
    <w:basedOn w:val="6"/>
    <w:link w:val="3"/>
    <w:qFormat/>
    <w:uiPriority w:val="99"/>
    <w:rPr>
      <w:kern w:val="2"/>
      <w:sz w:val="18"/>
      <w:szCs w:val="18"/>
    </w:rPr>
  </w:style>
</w:styles>
</file>

<file path=word/_rels/document.xml.rels><?xml version="1.0" encoding="UTF-8" standalone="yes"?>
<Relationships xmlns="http://schemas.openxmlformats.org/package/2006/relationships"><Relationship Id="rId6" Type="http://schemas.openxmlformats.org/officeDocument/2006/relationships/fontTable" Target="fontTable.xml"/><Relationship Id="rId5" Type="http://schemas.openxmlformats.org/officeDocument/2006/relationships/customXml" Target="../customXml/item1.xml"/><Relationship Id="rId4" Type="http://schemas.openxmlformats.org/officeDocument/2006/relationships/theme" Target="theme/theme1.xml"/><Relationship Id="rId3"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Company>MS</Company>
  <Pages>5</Pages>
  <Words>345</Words>
  <Characters>1967</Characters>
  <Lines>16</Lines>
  <Paragraphs>4</Paragraphs>
  <TotalTime>9</TotalTime>
  <ScaleCrop>false</ScaleCrop>
  <LinksUpToDate>false</LinksUpToDate>
  <CharactersWithSpaces>2308</CharactersWithSpaces>
  <Application>WPS Office_11.1.0.10314_F1E327BC-269C-435d-A152-05C5408002CA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2021-10-19T06:32:00Z</dcterms:created>
  <dc:creator>xb21cn</dc:creator>
  <cp:lastModifiedBy>Administratorgy0312</cp:lastModifiedBy>
  <cp:lastPrinted>2021-12-16T05:47:00Z</cp:lastPrinted>
  <dcterms:modified xsi:type="dcterms:W3CDTF">2025-05-06T02:58:56Z</dcterms:modified>
  <cp:revision>36</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2052-11.1.0.10314</vt:lpwstr>
  </property>
  <property fmtid="{D5CDD505-2E9C-101B-9397-08002B2CF9AE}" pid="3" name="ICV">
    <vt:lpwstr>06A6BF1C079B4ED6B0F9CEE331F3EA5A</vt:lpwstr>
  </property>
</Properties>
</file>